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E34B0" w14:textId="26213DA5" w:rsidR="008F6F4F" w:rsidRDefault="00534517" w:rsidP="00AE4E60">
      <w:pPr>
        <w:jc w:val="center"/>
        <w:rPr>
          <w:b/>
          <w:sz w:val="32"/>
        </w:rPr>
      </w:pPr>
      <w:r>
        <w:rPr>
          <w:b/>
          <w:sz w:val="32"/>
        </w:rPr>
        <w:t>Vedlegg (delrapport)</w:t>
      </w:r>
    </w:p>
    <w:p w14:paraId="3E0636CB" w14:textId="0623C236" w:rsidR="001F1A91" w:rsidRPr="00AE4E60" w:rsidRDefault="001F1A91" w:rsidP="00AE4E60">
      <w:pPr>
        <w:jc w:val="center"/>
        <w:rPr>
          <w:b/>
          <w:sz w:val="32"/>
        </w:rPr>
      </w:pPr>
      <w:r w:rsidRPr="00AE4E60">
        <w:rPr>
          <w:b/>
          <w:sz w:val="32"/>
        </w:rPr>
        <w:t>NorCRIN arbeidspakke 11</w:t>
      </w:r>
    </w:p>
    <w:p w14:paraId="0F70D99F" w14:textId="77777777" w:rsidR="001F1A91" w:rsidRDefault="001F1A91" w:rsidP="00AE4E60">
      <w:pPr>
        <w:jc w:val="center"/>
        <w:rPr>
          <w:b/>
          <w:sz w:val="32"/>
        </w:rPr>
      </w:pPr>
      <w:r w:rsidRPr="00AE4E60">
        <w:rPr>
          <w:b/>
          <w:sz w:val="32"/>
        </w:rPr>
        <w:t xml:space="preserve">Organisatoriske enheter </w:t>
      </w:r>
      <w:r w:rsidR="00AE4E60">
        <w:rPr>
          <w:b/>
          <w:sz w:val="32"/>
        </w:rPr>
        <w:t>til støtte for kliniske studier</w:t>
      </w:r>
    </w:p>
    <w:p w14:paraId="7759745C" w14:textId="77777777" w:rsidR="00AE4E60" w:rsidRPr="00FD7F7E" w:rsidRDefault="00AE4E60" w:rsidP="00AE4E60">
      <w:pPr>
        <w:jc w:val="center"/>
        <w:rPr>
          <w:b/>
          <w:sz w:val="32"/>
          <w:lang w:val="en-US"/>
        </w:rPr>
      </w:pPr>
      <w:r w:rsidRPr="00FD7F7E">
        <w:rPr>
          <w:b/>
          <w:sz w:val="32"/>
          <w:lang w:val="en-US"/>
        </w:rPr>
        <w:t>«Infra»</w:t>
      </w:r>
    </w:p>
    <w:p w14:paraId="3DD1F831" w14:textId="77777777" w:rsidR="001F1A91" w:rsidRPr="00FD7F7E" w:rsidRDefault="001F1A91" w:rsidP="00AE4E60">
      <w:pPr>
        <w:jc w:val="center"/>
        <w:rPr>
          <w:lang w:val="en-US"/>
        </w:rPr>
      </w:pPr>
    </w:p>
    <w:p w14:paraId="3B2B3290" w14:textId="77777777" w:rsidR="001F1A91" w:rsidRDefault="001F1A91" w:rsidP="00AE4E60">
      <w:pPr>
        <w:jc w:val="center"/>
        <w:rPr>
          <w:b/>
          <w:lang w:val="en-US"/>
        </w:rPr>
      </w:pPr>
      <w:r w:rsidRPr="00AE4E60">
        <w:rPr>
          <w:b/>
          <w:lang w:val="en-US"/>
        </w:rPr>
        <w:t>Organizational units for the conduct of clinical studies</w:t>
      </w:r>
    </w:p>
    <w:p w14:paraId="07AB6301" w14:textId="77777777" w:rsidR="00534517" w:rsidRDefault="00534517" w:rsidP="00AE4E60">
      <w:pPr>
        <w:jc w:val="center"/>
        <w:rPr>
          <w:b/>
          <w:lang w:val="en-US"/>
        </w:rPr>
      </w:pPr>
    </w:p>
    <w:p w14:paraId="44AC77A3" w14:textId="722C632E" w:rsidR="00534517" w:rsidRDefault="00534517" w:rsidP="00AE4E60">
      <w:pPr>
        <w:jc w:val="center"/>
        <w:rPr>
          <w:b/>
          <w:color w:val="00B0F0"/>
          <w:sz w:val="32"/>
        </w:rPr>
      </w:pPr>
      <w:r w:rsidRPr="00534517">
        <w:rPr>
          <w:b/>
          <w:color w:val="00B0F0"/>
          <w:sz w:val="32"/>
        </w:rPr>
        <w:t xml:space="preserve">Om arbeidet i AP11, nåsituasjon og viktige utfordringer </w:t>
      </w:r>
    </w:p>
    <w:p w14:paraId="7CFF8F9F" w14:textId="7A3A2802" w:rsidR="00534517" w:rsidRPr="00534517" w:rsidRDefault="00534517" w:rsidP="00AE4E60">
      <w:pPr>
        <w:jc w:val="center"/>
        <w:rPr>
          <w:rFonts w:cstheme="minorHAnsi"/>
          <w:bCs/>
          <w:color w:val="auto"/>
          <w:sz w:val="32"/>
          <w:szCs w:val="32"/>
        </w:rPr>
      </w:pPr>
      <w:r w:rsidRPr="00534517">
        <w:rPr>
          <w:bCs/>
          <w:color w:val="auto"/>
          <w:sz w:val="24"/>
          <w:szCs w:val="18"/>
        </w:rPr>
        <w:t>Versjon 2.5</w:t>
      </w:r>
    </w:p>
    <w:p w14:paraId="21118B41" w14:textId="241DC62C" w:rsidR="00B82783" w:rsidRPr="00534517" w:rsidRDefault="00B76ADC" w:rsidP="00B82783">
      <w:r>
        <w:rPr>
          <w:noProof/>
        </w:rPr>
        <w:drawing>
          <wp:anchor distT="0" distB="0" distL="114300" distR="114300" simplePos="0" relativeHeight="251660288" behindDoc="0" locked="0" layoutInCell="1" allowOverlap="1" wp14:anchorId="2B111907" wp14:editId="33600791">
            <wp:simplePos x="0" y="0"/>
            <wp:positionH relativeFrom="margin">
              <wp:align>center</wp:align>
            </wp:positionH>
            <wp:positionV relativeFrom="paragraph">
              <wp:posOffset>5080</wp:posOffset>
            </wp:positionV>
            <wp:extent cx="3676650" cy="3676650"/>
            <wp:effectExtent l="0" t="0" r="0" b="0"/>
            <wp:wrapNone/>
            <wp:docPr id="948012905" name="Bilde 1" descr="Et bilde som inneholder tekst, kart&#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12905" name="Bilde 1" descr="Et bilde som inneholder tekst, kart&#10;&#10;KI-generert innhold kan være feil."/>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76650" cy="3676650"/>
                    </a:xfrm>
                    <a:prstGeom prst="rect">
                      <a:avLst/>
                    </a:prstGeom>
                  </pic:spPr>
                </pic:pic>
              </a:graphicData>
            </a:graphic>
          </wp:anchor>
        </w:drawing>
      </w:r>
    </w:p>
    <w:sdt>
      <w:sdtPr>
        <w:rPr>
          <w:rFonts w:ascii="Times New Roman" w:eastAsia="Times New Roman" w:hAnsi="Times New Roman" w:cs="Times New Roman"/>
          <w:b w:val="0"/>
          <w:bCs w:val="0"/>
          <w:color w:val="000000"/>
          <w:sz w:val="20"/>
          <w:szCs w:val="22"/>
          <w:lang w:bidi="ne-NP"/>
        </w:rPr>
        <w:id w:val="617650238"/>
        <w:docPartObj>
          <w:docPartGallery w:val="Table of Contents"/>
          <w:docPartUnique/>
        </w:docPartObj>
      </w:sdtPr>
      <w:sdtEndPr>
        <w:rPr>
          <w:rFonts w:asciiTheme="minorHAnsi" w:hAnsiTheme="minorHAnsi"/>
          <w:color w:val="000000" w:themeColor="text1"/>
          <w:sz w:val="22"/>
        </w:rPr>
      </w:sdtEndPr>
      <w:sdtContent>
        <w:sdt>
          <w:sdtPr>
            <w:rPr>
              <w:rFonts w:ascii="Times New Roman" w:eastAsia="Times New Roman" w:hAnsi="Times New Roman" w:cs="Times New Roman"/>
              <w:b w:val="0"/>
              <w:bCs w:val="0"/>
              <w:color w:val="000000"/>
              <w:sz w:val="20"/>
              <w:szCs w:val="22"/>
              <w:lang w:bidi="ne-NP"/>
            </w:rPr>
            <w:id w:val="-383868613"/>
            <w:docPartObj>
              <w:docPartGallery w:val="Table of Contents"/>
              <w:docPartUnique/>
            </w:docPartObj>
          </w:sdtPr>
          <w:sdtEndPr>
            <w:rPr>
              <w:rFonts w:ascii="Calibri" w:hAnsi="Calibri"/>
              <w:color w:val="000000" w:themeColor="text1"/>
              <w:sz w:val="22"/>
              <w:szCs w:val="20"/>
            </w:rPr>
          </w:sdtEndPr>
          <w:sdtContent>
            <w:p w14:paraId="4CD764F2" w14:textId="77777777" w:rsidR="00B82783" w:rsidRDefault="00B82783" w:rsidP="00821450">
              <w:pPr>
                <w:pStyle w:val="Overskriftforinnholdsfortegnelse"/>
                <w:rPr>
                  <w:rFonts w:ascii="Times New Roman" w:eastAsia="Times New Roman" w:hAnsi="Times New Roman" w:cs="Times New Roman"/>
                  <w:b w:val="0"/>
                  <w:bCs w:val="0"/>
                  <w:color w:val="000000"/>
                  <w:sz w:val="20"/>
                  <w:szCs w:val="22"/>
                  <w:lang w:bidi="ne-NP"/>
                </w:rPr>
              </w:pPr>
            </w:p>
            <w:p w14:paraId="3DC7B933" w14:textId="77777777" w:rsidR="00B82783" w:rsidRDefault="00B82783">
              <w:pPr>
                <w:autoSpaceDE/>
                <w:autoSpaceDN/>
                <w:adjustRightInd/>
                <w:spacing w:after="0"/>
                <w:rPr>
                  <w:rFonts w:ascii="Times New Roman" w:hAnsi="Times New Roman"/>
                  <w:sz w:val="20"/>
                </w:rPr>
              </w:pPr>
              <w:r>
                <w:rPr>
                  <w:rFonts w:ascii="Times New Roman" w:hAnsi="Times New Roman"/>
                  <w:b/>
                  <w:bCs/>
                  <w:sz w:val="20"/>
                </w:rPr>
                <w:br w:type="page"/>
              </w:r>
            </w:p>
            <w:p w14:paraId="08658AF3" w14:textId="7E487BF1" w:rsidR="009F71F5" w:rsidRPr="00CF48E6" w:rsidRDefault="008D216A" w:rsidP="00821450">
              <w:pPr>
                <w:pStyle w:val="Overskriftforinnholdsfortegnelse"/>
              </w:pPr>
              <w:r w:rsidRPr="00CF48E6">
                <w:lastRenderedPageBreak/>
                <w:t>INNHOLD</w:t>
              </w:r>
            </w:p>
            <w:p w14:paraId="667368FF" w14:textId="28DA2B22" w:rsidR="002F79BE" w:rsidRDefault="00B76ADC">
              <w:pPr>
                <w:pStyle w:val="INNH1"/>
                <w:tabs>
                  <w:tab w:val="left" w:pos="440"/>
                  <w:tab w:val="right" w:leader="dot" w:pos="9062"/>
                </w:tabs>
              </w:pPr>
            </w:p>
          </w:sdtContent>
        </w:sdt>
        <w:p w14:paraId="5DC96412" w14:textId="0F1CF120" w:rsidR="00237107" w:rsidRDefault="002F79BE">
          <w:pPr>
            <w:pStyle w:val="INNH1"/>
            <w:tabs>
              <w:tab w:val="left" w:pos="440"/>
              <w:tab w:val="right" w:leader="dot" w:pos="9060"/>
            </w:tabs>
            <w:rPr>
              <w:rFonts w:asciiTheme="minorHAnsi" w:eastAsiaTheme="minorEastAsia" w:hAnsiTheme="minorHAnsi" w:cstheme="minorBidi"/>
              <w:noProof/>
              <w:color w:val="auto"/>
              <w:kern w:val="2"/>
              <w:sz w:val="24"/>
              <w:szCs w:val="24"/>
              <w:lang w:bidi="ar-SA"/>
              <w14:ligatures w14:val="standardContextual"/>
            </w:rPr>
          </w:pPr>
          <w:r>
            <w:fldChar w:fldCharType="begin"/>
          </w:r>
          <w:r>
            <w:instrText xml:space="preserve"> TOC \o "1-2" \h \z \u </w:instrText>
          </w:r>
          <w:r>
            <w:fldChar w:fldCharType="separate"/>
          </w:r>
          <w:hyperlink w:anchor="_Toc192525140" w:history="1">
            <w:r w:rsidR="00237107" w:rsidRPr="000E4574">
              <w:rPr>
                <w:rStyle w:val="Hyperkobling"/>
                <w:noProof/>
                <w14:scene3d>
                  <w14:camera w14:prst="orthographicFront"/>
                  <w14:lightRig w14:rig="threePt" w14:dir="t">
                    <w14:rot w14:lat="0" w14:lon="0" w14:rev="0"/>
                  </w14:lightRig>
                </w14:scene3d>
              </w:rPr>
              <w:t>1</w:t>
            </w:r>
            <w:r w:rsidR="00237107">
              <w:rPr>
                <w:rFonts w:asciiTheme="minorHAnsi" w:eastAsiaTheme="minorEastAsia" w:hAnsiTheme="minorHAnsi" w:cstheme="minorBidi"/>
                <w:noProof/>
                <w:color w:val="auto"/>
                <w:kern w:val="2"/>
                <w:sz w:val="24"/>
                <w:szCs w:val="24"/>
                <w:lang w:bidi="ar-SA"/>
                <w14:ligatures w14:val="standardContextual"/>
              </w:rPr>
              <w:tab/>
            </w:r>
            <w:r w:rsidR="00237107" w:rsidRPr="000E4574">
              <w:rPr>
                <w:rStyle w:val="Hyperkobling"/>
                <w:noProof/>
              </w:rPr>
              <w:t>Introduksjon</w:t>
            </w:r>
            <w:r w:rsidR="00237107">
              <w:rPr>
                <w:noProof/>
                <w:webHidden/>
              </w:rPr>
              <w:tab/>
            </w:r>
            <w:r w:rsidR="00237107">
              <w:rPr>
                <w:noProof/>
                <w:webHidden/>
              </w:rPr>
              <w:fldChar w:fldCharType="begin"/>
            </w:r>
            <w:r w:rsidR="00237107">
              <w:rPr>
                <w:noProof/>
                <w:webHidden/>
              </w:rPr>
              <w:instrText xml:space="preserve"> PAGEREF _Toc192525140 \h </w:instrText>
            </w:r>
            <w:r w:rsidR="00237107">
              <w:rPr>
                <w:noProof/>
                <w:webHidden/>
              </w:rPr>
            </w:r>
            <w:r w:rsidR="00237107">
              <w:rPr>
                <w:noProof/>
                <w:webHidden/>
              </w:rPr>
              <w:fldChar w:fldCharType="separate"/>
            </w:r>
            <w:r w:rsidR="00237107">
              <w:rPr>
                <w:noProof/>
                <w:webHidden/>
              </w:rPr>
              <w:t>4</w:t>
            </w:r>
            <w:r w:rsidR="00237107">
              <w:rPr>
                <w:noProof/>
                <w:webHidden/>
              </w:rPr>
              <w:fldChar w:fldCharType="end"/>
            </w:r>
          </w:hyperlink>
        </w:p>
        <w:p w14:paraId="1210FBA8" w14:textId="62C55C65" w:rsidR="00237107" w:rsidRDefault="00B76ADC">
          <w:pPr>
            <w:pStyle w:val="INNH1"/>
            <w:tabs>
              <w:tab w:val="left" w:pos="440"/>
              <w:tab w:val="right" w:leader="dot" w:pos="9060"/>
            </w:tabs>
            <w:rPr>
              <w:rFonts w:asciiTheme="minorHAnsi" w:eastAsiaTheme="minorEastAsia" w:hAnsiTheme="minorHAnsi" w:cstheme="minorBidi"/>
              <w:noProof/>
              <w:color w:val="auto"/>
              <w:kern w:val="2"/>
              <w:sz w:val="24"/>
              <w:szCs w:val="24"/>
              <w:lang w:bidi="ar-SA"/>
              <w14:ligatures w14:val="standardContextual"/>
            </w:rPr>
          </w:pPr>
          <w:hyperlink w:anchor="_Toc192525141" w:history="1">
            <w:r w:rsidR="00237107" w:rsidRPr="000E4574">
              <w:rPr>
                <w:rStyle w:val="Hyperkobling"/>
                <w:noProof/>
                <w14:scene3d>
                  <w14:camera w14:prst="orthographicFront"/>
                  <w14:lightRig w14:rig="threePt" w14:dir="t">
                    <w14:rot w14:lat="0" w14:lon="0" w14:rev="0"/>
                  </w14:lightRig>
                </w14:scene3d>
              </w:rPr>
              <w:t>2</w:t>
            </w:r>
            <w:r w:rsidR="00237107">
              <w:rPr>
                <w:rFonts w:asciiTheme="minorHAnsi" w:eastAsiaTheme="minorEastAsia" w:hAnsiTheme="minorHAnsi" w:cstheme="minorBidi"/>
                <w:noProof/>
                <w:color w:val="auto"/>
                <w:kern w:val="2"/>
                <w:sz w:val="24"/>
                <w:szCs w:val="24"/>
                <w:lang w:bidi="ar-SA"/>
                <w14:ligatures w14:val="standardContextual"/>
              </w:rPr>
              <w:tab/>
            </w:r>
            <w:r w:rsidR="00237107" w:rsidRPr="000E4574">
              <w:rPr>
                <w:rStyle w:val="Hyperkobling"/>
                <w:noProof/>
              </w:rPr>
              <w:t>Terminologi - ordliste</w:t>
            </w:r>
            <w:r w:rsidR="00237107">
              <w:rPr>
                <w:noProof/>
                <w:webHidden/>
              </w:rPr>
              <w:tab/>
            </w:r>
            <w:r w:rsidR="00237107">
              <w:rPr>
                <w:noProof/>
                <w:webHidden/>
              </w:rPr>
              <w:fldChar w:fldCharType="begin"/>
            </w:r>
            <w:r w:rsidR="00237107">
              <w:rPr>
                <w:noProof/>
                <w:webHidden/>
              </w:rPr>
              <w:instrText xml:space="preserve"> PAGEREF _Toc192525141 \h </w:instrText>
            </w:r>
            <w:r w:rsidR="00237107">
              <w:rPr>
                <w:noProof/>
                <w:webHidden/>
              </w:rPr>
            </w:r>
            <w:r w:rsidR="00237107">
              <w:rPr>
                <w:noProof/>
                <w:webHidden/>
              </w:rPr>
              <w:fldChar w:fldCharType="separate"/>
            </w:r>
            <w:r w:rsidR="00237107">
              <w:rPr>
                <w:noProof/>
                <w:webHidden/>
              </w:rPr>
              <w:t>4</w:t>
            </w:r>
            <w:r w:rsidR="00237107">
              <w:rPr>
                <w:noProof/>
                <w:webHidden/>
              </w:rPr>
              <w:fldChar w:fldCharType="end"/>
            </w:r>
          </w:hyperlink>
        </w:p>
        <w:p w14:paraId="30930BD6" w14:textId="143E4429" w:rsidR="00237107" w:rsidRDefault="00B76ADC">
          <w:pPr>
            <w:pStyle w:val="INNH1"/>
            <w:tabs>
              <w:tab w:val="left" w:pos="440"/>
              <w:tab w:val="right" w:leader="dot" w:pos="9060"/>
            </w:tabs>
            <w:rPr>
              <w:rFonts w:asciiTheme="minorHAnsi" w:eastAsiaTheme="minorEastAsia" w:hAnsiTheme="minorHAnsi" w:cstheme="minorBidi"/>
              <w:noProof/>
              <w:color w:val="auto"/>
              <w:kern w:val="2"/>
              <w:sz w:val="24"/>
              <w:szCs w:val="24"/>
              <w:lang w:bidi="ar-SA"/>
              <w14:ligatures w14:val="standardContextual"/>
            </w:rPr>
          </w:pPr>
          <w:hyperlink w:anchor="_Toc192525142" w:history="1">
            <w:r w:rsidR="00237107" w:rsidRPr="000E4574">
              <w:rPr>
                <w:rStyle w:val="Hyperkobling"/>
                <w:noProof/>
                <w14:scene3d>
                  <w14:camera w14:prst="orthographicFront"/>
                  <w14:lightRig w14:rig="threePt" w14:dir="t">
                    <w14:rot w14:lat="0" w14:lon="0" w14:rev="0"/>
                  </w14:lightRig>
                </w14:scene3d>
              </w:rPr>
              <w:t>3</w:t>
            </w:r>
            <w:r w:rsidR="00237107">
              <w:rPr>
                <w:rFonts w:asciiTheme="minorHAnsi" w:eastAsiaTheme="minorEastAsia" w:hAnsiTheme="minorHAnsi" w:cstheme="minorBidi"/>
                <w:noProof/>
                <w:color w:val="auto"/>
                <w:kern w:val="2"/>
                <w:sz w:val="24"/>
                <w:szCs w:val="24"/>
                <w:lang w:bidi="ar-SA"/>
                <w14:ligatures w14:val="standardContextual"/>
              </w:rPr>
              <w:tab/>
            </w:r>
            <w:r w:rsidR="00237107" w:rsidRPr="000E4574">
              <w:rPr>
                <w:rStyle w:val="Hyperkobling"/>
                <w:noProof/>
              </w:rPr>
              <w:t>AP11 Mandat</w:t>
            </w:r>
            <w:r w:rsidR="00237107">
              <w:rPr>
                <w:noProof/>
                <w:webHidden/>
              </w:rPr>
              <w:tab/>
            </w:r>
            <w:r w:rsidR="00237107">
              <w:rPr>
                <w:noProof/>
                <w:webHidden/>
              </w:rPr>
              <w:fldChar w:fldCharType="begin"/>
            </w:r>
            <w:r w:rsidR="00237107">
              <w:rPr>
                <w:noProof/>
                <w:webHidden/>
              </w:rPr>
              <w:instrText xml:space="preserve"> PAGEREF _Toc192525142 \h </w:instrText>
            </w:r>
            <w:r w:rsidR="00237107">
              <w:rPr>
                <w:noProof/>
                <w:webHidden/>
              </w:rPr>
            </w:r>
            <w:r w:rsidR="00237107">
              <w:rPr>
                <w:noProof/>
                <w:webHidden/>
              </w:rPr>
              <w:fldChar w:fldCharType="separate"/>
            </w:r>
            <w:r w:rsidR="00237107">
              <w:rPr>
                <w:noProof/>
                <w:webHidden/>
              </w:rPr>
              <w:t>8</w:t>
            </w:r>
            <w:r w:rsidR="00237107">
              <w:rPr>
                <w:noProof/>
                <w:webHidden/>
              </w:rPr>
              <w:fldChar w:fldCharType="end"/>
            </w:r>
          </w:hyperlink>
        </w:p>
        <w:p w14:paraId="1439E63D" w14:textId="0C697038" w:rsidR="00237107" w:rsidRDefault="00B76ADC">
          <w:pPr>
            <w:pStyle w:val="INNH2"/>
            <w:tabs>
              <w:tab w:val="left" w:pos="960"/>
              <w:tab w:val="right" w:leader="dot" w:pos="9060"/>
            </w:tabs>
            <w:rPr>
              <w:rFonts w:asciiTheme="minorHAnsi" w:eastAsiaTheme="minorEastAsia" w:hAnsiTheme="minorHAnsi" w:cstheme="minorBidi"/>
              <w:noProof/>
              <w:color w:val="auto"/>
              <w:kern w:val="2"/>
              <w:sz w:val="24"/>
              <w:szCs w:val="24"/>
              <w:lang w:bidi="ar-SA"/>
              <w14:ligatures w14:val="standardContextual"/>
            </w:rPr>
          </w:pPr>
          <w:hyperlink w:anchor="_Toc192525143" w:history="1">
            <w:r w:rsidR="00237107" w:rsidRPr="000E4574">
              <w:rPr>
                <w:rStyle w:val="Hyperkobling"/>
                <w:noProof/>
              </w:rPr>
              <w:t>3.1</w:t>
            </w:r>
            <w:r w:rsidR="00237107">
              <w:rPr>
                <w:rFonts w:asciiTheme="minorHAnsi" w:eastAsiaTheme="minorEastAsia" w:hAnsiTheme="minorHAnsi" w:cstheme="minorBidi"/>
                <w:noProof/>
                <w:color w:val="auto"/>
                <w:kern w:val="2"/>
                <w:sz w:val="24"/>
                <w:szCs w:val="24"/>
                <w:lang w:bidi="ar-SA"/>
                <w14:ligatures w14:val="standardContextual"/>
              </w:rPr>
              <w:tab/>
            </w:r>
            <w:r w:rsidR="00237107" w:rsidRPr="000E4574">
              <w:rPr>
                <w:rStyle w:val="Hyperkobling"/>
                <w:noProof/>
              </w:rPr>
              <w:t>Mål for arbeidet</w:t>
            </w:r>
            <w:r w:rsidR="00237107">
              <w:rPr>
                <w:noProof/>
                <w:webHidden/>
              </w:rPr>
              <w:tab/>
            </w:r>
            <w:r w:rsidR="00237107">
              <w:rPr>
                <w:noProof/>
                <w:webHidden/>
              </w:rPr>
              <w:fldChar w:fldCharType="begin"/>
            </w:r>
            <w:r w:rsidR="00237107">
              <w:rPr>
                <w:noProof/>
                <w:webHidden/>
              </w:rPr>
              <w:instrText xml:space="preserve"> PAGEREF _Toc192525143 \h </w:instrText>
            </w:r>
            <w:r w:rsidR="00237107">
              <w:rPr>
                <w:noProof/>
                <w:webHidden/>
              </w:rPr>
            </w:r>
            <w:r w:rsidR="00237107">
              <w:rPr>
                <w:noProof/>
                <w:webHidden/>
              </w:rPr>
              <w:fldChar w:fldCharType="separate"/>
            </w:r>
            <w:r w:rsidR="00237107">
              <w:rPr>
                <w:noProof/>
                <w:webHidden/>
              </w:rPr>
              <w:t>8</w:t>
            </w:r>
            <w:r w:rsidR="00237107">
              <w:rPr>
                <w:noProof/>
                <w:webHidden/>
              </w:rPr>
              <w:fldChar w:fldCharType="end"/>
            </w:r>
          </w:hyperlink>
        </w:p>
        <w:p w14:paraId="0C426F4E" w14:textId="367C41C5" w:rsidR="00237107" w:rsidRDefault="00B76ADC">
          <w:pPr>
            <w:pStyle w:val="INNH2"/>
            <w:tabs>
              <w:tab w:val="left" w:pos="960"/>
              <w:tab w:val="right" w:leader="dot" w:pos="9060"/>
            </w:tabs>
            <w:rPr>
              <w:rFonts w:asciiTheme="minorHAnsi" w:eastAsiaTheme="minorEastAsia" w:hAnsiTheme="minorHAnsi" w:cstheme="minorBidi"/>
              <w:noProof/>
              <w:color w:val="auto"/>
              <w:kern w:val="2"/>
              <w:sz w:val="24"/>
              <w:szCs w:val="24"/>
              <w:lang w:bidi="ar-SA"/>
              <w14:ligatures w14:val="standardContextual"/>
            </w:rPr>
          </w:pPr>
          <w:hyperlink w:anchor="_Toc192525144" w:history="1">
            <w:r w:rsidR="00237107" w:rsidRPr="000E4574">
              <w:rPr>
                <w:rStyle w:val="Hyperkobling"/>
                <w:noProof/>
              </w:rPr>
              <w:t>3.2</w:t>
            </w:r>
            <w:r w:rsidR="00237107">
              <w:rPr>
                <w:rFonts w:asciiTheme="minorHAnsi" w:eastAsiaTheme="minorEastAsia" w:hAnsiTheme="minorHAnsi" w:cstheme="minorBidi"/>
                <w:noProof/>
                <w:color w:val="auto"/>
                <w:kern w:val="2"/>
                <w:sz w:val="24"/>
                <w:szCs w:val="24"/>
                <w:lang w:bidi="ar-SA"/>
                <w14:ligatures w14:val="standardContextual"/>
              </w:rPr>
              <w:tab/>
            </w:r>
            <w:r w:rsidR="00237107" w:rsidRPr="000E4574">
              <w:rPr>
                <w:rStyle w:val="Hyperkobling"/>
                <w:noProof/>
              </w:rPr>
              <w:t>Leveranse</w:t>
            </w:r>
            <w:r w:rsidR="00237107">
              <w:rPr>
                <w:noProof/>
                <w:webHidden/>
              </w:rPr>
              <w:tab/>
            </w:r>
            <w:r w:rsidR="00237107">
              <w:rPr>
                <w:noProof/>
                <w:webHidden/>
              </w:rPr>
              <w:fldChar w:fldCharType="begin"/>
            </w:r>
            <w:r w:rsidR="00237107">
              <w:rPr>
                <w:noProof/>
                <w:webHidden/>
              </w:rPr>
              <w:instrText xml:space="preserve"> PAGEREF _Toc192525144 \h </w:instrText>
            </w:r>
            <w:r w:rsidR="00237107">
              <w:rPr>
                <w:noProof/>
                <w:webHidden/>
              </w:rPr>
            </w:r>
            <w:r w:rsidR="00237107">
              <w:rPr>
                <w:noProof/>
                <w:webHidden/>
              </w:rPr>
              <w:fldChar w:fldCharType="separate"/>
            </w:r>
            <w:r w:rsidR="00237107">
              <w:rPr>
                <w:noProof/>
                <w:webHidden/>
              </w:rPr>
              <w:t>8</w:t>
            </w:r>
            <w:r w:rsidR="00237107">
              <w:rPr>
                <w:noProof/>
                <w:webHidden/>
              </w:rPr>
              <w:fldChar w:fldCharType="end"/>
            </w:r>
          </w:hyperlink>
        </w:p>
        <w:p w14:paraId="6BB4BF34" w14:textId="59E0108D" w:rsidR="00237107" w:rsidRDefault="00B76ADC">
          <w:pPr>
            <w:pStyle w:val="INNH2"/>
            <w:tabs>
              <w:tab w:val="left" w:pos="960"/>
              <w:tab w:val="right" w:leader="dot" w:pos="9060"/>
            </w:tabs>
            <w:rPr>
              <w:rFonts w:asciiTheme="minorHAnsi" w:eastAsiaTheme="minorEastAsia" w:hAnsiTheme="minorHAnsi" w:cstheme="minorBidi"/>
              <w:noProof/>
              <w:color w:val="auto"/>
              <w:kern w:val="2"/>
              <w:sz w:val="24"/>
              <w:szCs w:val="24"/>
              <w:lang w:bidi="ar-SA"/>
              <w14:ligatures w14:val="standardContextual"/>
            </w:rPr>
          </w:pPr>
          <w:hyperlink w:anchor="_Toc192525145" w:history="1">
            <w:r w:rsidR="00237107" w:rsidRPr="000E4574">
              <w:rPr>
                <w:rStyle w:val="Hyperkobling"/>
                <w:noProof/>
              </w:rPr>
              <w:t>3.3</w:t>
            </w:r>
            <w:r w:rsidR="00237107">
              <w:rPr>
                <w:rFonts w:asciiTheme="minorHAnsi" w:eastAsiaTheme="minorEastAsia" w:hAnsiTheme="minorHAnsi" w:cstheme="minorBidi"/>
                <w:noProof/>
                <w:color w:val="auto"/>
                <w:kern w:val="2"/>
                <w:sz w:val="24"/>
                <w:szCs w:val="24"/>
                <w:lang w:bidi="ar-SA"/>
                <w14:ligatures w14:val="standardContextual"/>
              </w:rPr>
              <w:tab/>
            </w:r>
            <w:r w:rsidR="00237107" w:rsidRPr="000E4574">
              <w:rPr>
                <w:rStyle w:val="Hyperkobling"/>
                <w:noProof/>
              </w:rPr>
              <w:t>Fokus for AP11</w:t>
            </w:r>
            <w:r w:rsidR="00237107">
              <w:rPr>
                <w:noProof/>
                <w:webHidden/>
              </w:rPr>
              <w:tab/>
            </w:r>
            <w:r w:rsidR="00237107">
              <w:rPr>
                <w:noProof/>
                <w:webHidden/>
              </w:rPr>
              <w:fldChar w:fldCharType="begin"/>
            </w:r>
            <w:r w:rsidR="00237107">
              <w:rPr>
                <w:noProof/>
                <w:webHidden/>
              </w:rPr>
              <w:instrText xml:space="preserve"> PAGEREF _Toc192525145 \h </w:instrText>
            </w:r>
            <w:r w:rsidR="00237107">
              <w:rPr>
                <w:noProof/>
                <w:webHidden/>
              </w:rPr>
            </w:r>
            <w:r w:rsidR="00237107">
              <w:rPr>
                <w:noProof/>
                <w:webHidden/>
              </w:rPr>
              <w:fldChar w:fldCharType="separate"/>
            </w:r>
            <w:r w:rsidR="00237107">
              <w:rPr>
                <w:noProof/>
                <w:webHidden/>
              </w:rPr>
              <w:t>8</w:t>
            </w:r>
            <w:r w:rsidR="00237107">
              <w:rPr>
                <w:noProof/>
                <w:webHidden/>
              </w:rPr>
              <w:fldChar w:fldCharType="end"/>
            </w:r>
          </w:hyperlink>
        </w:p>
        <w:p w14:paraId="10180CC1" w14:textId="1F36CD8E" w:rsidR="00237107" w:rsidRDefault="00B76ADC">
          <w:pPr>
            <w:pStyle w:val="INNH2"/>
            <w:tabs>
              <w:tab w:val="left" w:pos="960"/>
              <w:tab w:val="right" w:leader="dot" w:pos="9060"/>
            </w:tabs>
            <w:rPr>
              <w:rFonts w:asciiTheme="minorHAnsi" w:eastAsiaTheme="minorEastAsia" w:hAnsiTheme="minorHAnsi" w:cstheme="minorBidi"/>
              <w:noProof/>
              <w:color w:val="auto"/>
              <w:kern w:val="2"/>
              <w:sz w:val="24"/>
              <w:szCs w:val="24"/>
              <w:lang w:bidi="ar-SA"/>
              <w14:ligatures w14:val="standardContextual"/>
            </w:rPr>
          </w:pPr>
          <w:hyperlink w:anchor="_Toc192525146" w:history="1">
            <w:r w:rsidR="00237107" w:rsidRPr="000E4574">
              <w:rPr>
                <w:rStyle w:val="Hyperkobling"/>
                <w:noProof/>
              </w:rPr>
              <w:t>3.4</w:t>
            </w:r>
            <w:r w:rsidR="00237107">
              <w:rPr>
                <w:rFonts w:asciiTheme="minorHAnsi" w:eastAsiaTheme="minorEastAsia" w:hAnsiTheme="minorHAnsi" w:cstheme="minorBidi"/>
                <w:noProof/>
                <w:color w:val="auto"/>
                <w:kern w:val="2"/>
                <w:sz w:val="24"/>
                <w:szCs w:val="24"/>
                <w:lang w:bidi="ar-SA"/>
                <w14:ligatures w14:val="standardContextual"/>
              </w:rPr>
              <w:tab/>
            </w:r>
            <w:r w:rsidR="00237107" w:rsidRPr="000E4574">
              <w:rPr>
                <w:rStyle w:val="Hyperkobling"/>
                <w:noProof/>
              </w:rPr>
              <w:t>Samarbeid underveis i prosjektet</w:t>
            </w:r>
            <w:r w:rsidR="00237107">
              <w:rPr>
                <w:noProof/>
                <w:webHidden/>
              </w:rPr>
              <w:tab/>
            </w:r>
            <w:r w:rsidR="00237107">
              <w:rPr>
                <w:noProof/>
                <w:webHidden/>
              </w:rPr>
              <w:fldChar w:fldCharType="begin"/>
            </w:r>
            <w:r w:rsidR="00237107">
              <w:rPr>
                <w:noProof/>
                <w:webHidden/>
              </w:rPr>
              <w:instrText xml:space="preserve"> PAGEREF _Toc192525146 \h </w:instrText>
            </w:r>
            <w:r w:rsidR="00237107">
              <w:rPr>
                <w:noProof/>
                <w:webHidden/>
              </w:rPr>
            </w:r>
            <w:r w:rsidR="00237107">
              <w:rPr>
                <w:noProof/>
                <w:webHidden/>
              </w:rPr>
              <w:fldChar w:fldCharType="separate"/>
            </w:r>
            <w:r w:rsidR="00237107">
              <w:rPr>
                <w:noProof/>
                <w:webHidden/>
              </w:rPr>
              <w:t>9</w:t>
            </w:r>
            <w:r w:rsidR="00237107">
              <w:rPr>
                <w:noProof/>
                <w:webHidden/>
              </w:rPr>
              <w:fldChar w:fldCharType="end"/>
            </w:r>
          </w:hyperlink>
        </w:p>
        <w:p w14:paraId="05ADFA18" w14:textId="4D3E9DF2" w:rsidR="00237107" w:rsidRDefault="00B76ADC">
          <w:pPr>
            <w:pStyle w:val="INNH1"/>
            <w:tabs>
              <w:tab w:val="left" w:pos="440"/>
              <w:tab w:val="right" w:leader="dot" w:pos="9060"/>
            </w:tabs>
            <w:rPr>
              <w:rFonts w:asciiTheme="minorHAnsi" w:eastAsiaTheme="minorEastAsia" w:hAnsiTheme="minorHAnsi" w:cstheme="minorBidi"/>
              <w:noProof/>
              <w:color w:val="auto"/>
              <w:kern w:val="2"/>
              <w:sz w:val="24"/>
              <w:szCs w:val="24"/>
              <w:lang w:bidi="ar-SA"/>
              <w14:ligatures w14:val="standardContextual"/>
            </w:rPr>
          </w:pPr>
          <w:hyperlink w:anchor="_Toc192525147" w:history="1">
            <w:r w:rsidR="00237107" w:rsidRPr="000E4574">
              <w:rPr>
                <w:rStyle w:val="Hyperkobling"/>
                <w:noProof/>
                <w14:scene3d>
                  <w14:camera w14:prst="orthographicFront"/>
                  <w14:lightRig w14:rig="threePt" w14:dir="t">
                    <w14:rot w14:lat="0" w14:lon="0" w14:rev="0"/>
                  </w14:lightRig>
                </w14:scene3d>
              </w:rPr>
              <w:t>4</w:t>
            </w:r>
            <w:r w:rsidR="00237107">
              <w:rPr>
                <w:rFonts w:asciiTheme="minorHAnsi" w:eastAsiaTheme="minorEastAsia" w:hAnsiTheme="minorHAnsi" w:cstheme="minorBidi"/>
                <w:noProof/>
                <w:color w:val="auto"/>
                <w:kern w:val="2"/>
                <w:sz w:val="24"/>
                <w:szCs w:val="24"/>
                <w:lang w:bidi="ar-SA"/>
                <w14:ligatures w14:val="standardContextual"/>
              </w:rPr>
              <w:tab/>
            </w:r>
            <w:r w:rsidR="00237107" w:rsidRPr="000E4574">
              <w:rPr>
                <w:rStyle w:val="Hyperkobling"/>
                <w:noProof/>
              </w:rPr>
              <w:t>Kliniske studier - trender</w:t>
            </w:r>
            <w:r w:rsidR="00237107">
              <w:rPr>
                <w:noProof/>
                <w:webHidden/>
              </w:rPr>
              <w:tab/>
            </w:r>
            <w:r w:rsidR="00237107">
              <w:rPr>
                <w:noProof/>
                <w:webHidden/>
              </w:rPr>
              <w:fldChar w:fldCharType="begin"/>
            </w:r>
            <w:r w:rsidR="00237107">
              <w:rPr>
                <w:noProof/>
                <w:webHidden/>
              </w:rPr>
              <w:instrText xml:space="preserve"> PAGEREF _Toc192525147 \h </w:instrText>
            </w:r>
            <w:r w:rsidR="00237107">
              <w:rPr>
                <w:noProof/>
                <w:webHidden/>
              </w:rPr>
            </w:r>
            <w:r w:rsidR="00237107">
              <w:rPr>
                <w:noProof/>
                <w:webHidden/>
              </w:rPr>
              <w:fldChar w:fldCharType="separate"/>
            </w:r>
            <w:r w:rsidR="00237107">
              <w:rPr>
                <w:noProof/>
                <w:webHidden/>
              </w:rPr>
              <w:t>9</w:t>
            </w:r>
            <w:r w:rsidR="00237107">
              <w:rPr>
                <w:noProof/>
                <w:webHidden/>
              </w:rPr>
              <w:fldChar w:fldCharType="end"/>
            </w:r>
          </w:hyperlink>
        </w:p>
        <w:p w14:paraId="7E60241C" w14:textId="1A4CD6C4" w:rsidR="00237107" w:rsidRDefault="00B76ADC">
          <w:pPr>
            <w:pStyle w:val="INNH1"/>
            <w:tabs>
              <w:tab w:val="left" w:pos="440"/>
              <w:tab w:val="right" w:leader="dot" w:pos="9060"/>
            </w:tabs>
            <w:rPr>
              <w:rFonts w:asciiTheme="minorHAnsi" w:eastAsiaTheme="minorEastAsia" w:hAnsiTheme="minorHAnsi" w:cstheme="minorBidi"/>
              <w:noProof/>
              <w:color w:val="auto"/>
              <w:kern w:val="2"/>
              <w:sz w:val="24"/>
              <w:szCs w:val="24"/>
              <w:lang w:bidi="ar-SA"/>
              <w14:ligatures w14:val="standardContextual"/>
            </w:rPr>
          </w:pPr>
          <w:hyperlink w:anchor="_Toc192525148" w:history="1">
            <w:r w:rsidR="00237107" w:rsidRPr="000E4574">
              <w:rPr>
                <w:rStyle w:val="Hyperkobling"/>
                <w:noProof/>
                <w14:scene3d>
                  <w14:camera w14:prst="orthographicFront"/>
                  <w14:lightRig w14:rig="threePt" w14:dir="t">
                    <w14:rot w14:lat="0" w14:lon="0" w14:rev="0"/>
                  </w14:lightRig>
                </w14:scene3d>
              </w:rPr>
              <w:t>5</w:t>
            </w:r>
            <w:r w:rsidR="00237107">
              <w:rPr>
                <w:rFonts w:asciiTheme="minorHAnsi" w:eastAsiaTheme="minorEastAsia" w:hAnsiTheme="minorHAnsi" w:cstheme="minorBidi"/>
                <w:noProof/>
                <w:color w:val="auto"/>
                <w:kern w:val="2"/>
                <w:sz w:val="24"/>
                <w:szCs w:val="24"/>
                <w:lang w:bidi="ar-SA"/>
                <w14:ligatures w14:val="standardContextual"/>
              </w:rPr>
              <w:tab/>
            </w:r>
            <w:r w:rsidR="00237107" w:rsidRPr="000E4574">
              <w:rPr>
                <w:rStyle w:val="Hyperkobling"/>
                <w:noProof/>
              </w:rPr>
              <w:t>Utvikling av anbefalingene</w:t>
            </w:r>
            <w:r w:rsidR="00237107">
              <w:rPr>
                <w:noProof/>
                <w:webHidden/>
              </w:rPr>
              <w:tab/>
            </w:r>
            <w:r w:rsidR="00237107">
              <w:rPr>
                <w:noProof/>
                <w:webHidden/>
              </w:rPr>
              <w:fldChar w:fldCharType="begin"/>
            </w:r>
            <w:r w:rsidR="00237107">
              <w:rPr>
                <w:noProof/>
                <w:webHidden/>
              </w:rPr>
              <w:instrText xml:space="preserve"> PAGEREF _Toc192525148 \h </w:instrText>
            </w:r>
            <w:r w:rsidR="00237107">
              <w:rPr>
                <w:noProof/>
                <w:webHidden/>
              </w:rPr>
            </w:r>
            <w:r w:rsidR="00237107">
              <w:rPr>
                <w:noProof/>
                <w:webHidden/>
              </w:rPr>
              <w:fldChar w:fldCharType="separate"/>
            </w:r>
            <w:r w:rsidR="00237107">
              <w:rPr>
                <w:noProof/>
                <w:webHidden/>
              </w:rPr>
              <w:t>10</w:t>
            </w:r>
            <w:r w:rsidR="00237107">
              <w:rPr>
                <w:noProof/>
                <w:webHidden/>
              </w:rPr>
              <w:fldChar w:fldCharType="end"/>
            </w:r>
          </w:hyperlink>
        </w:p>
        <w:p w14:paraId="49564B9E" w14:textId="6A320B2A" w:rsidR="00237107" w:rsidRDefault="00B76ADC">
          <w:pPr>
            <w:pStyle w:val="INNH1"/>
            <w:tabs>
              <w:tab w:val="left" w:pos="440"/>
              <w:tab w:val="right" w:leader="dot" w:pos="9060"/>
            </w:tabs>
            <w:rPr>
              <w:rFonts w:asciiTheme="minorHAnsi" w:eastAsiaTheme="minorEastAsia" w:hAnsiTheme="minorHAnsi" w:cstheme="minorBidi"/>
              <w:noProof/>
              <w:color w:val="auto"/>
              <w:kern w:val="2"/>
              <w:sz w:val="24"/>
              <w:szCs w:val="24"/>
              <w:lang w:bidi="ar-SA"/>
              <w14:ligatures w14:val="standardContextual"/>
            </w:rPr>
          </w:pPr>
          <w:hyperlink w:anchor="_Toc192525149" w:history="1">
            <w:r w:rsidR="00237107" w:rsidRPr="000E4574">
              <w:rPr>
                <w:rStyle w:val="Hyperkobling"/>
                <w:noProof/>
                <w14:scene3d>
                  <w14:camera w14:prst="orthographicFront"/>
                  <w14:lightRig w14:rig="threePt" w14:dir="t">
                    <w14:rot w14:lat="0" w14:lon="0" w14:rev="0"/>
                  </w14:lightRig>
                </w14:scene3d>
              </w:rPr>
              <w:t>6</w:t>
            </w:r>
            <w:r w:rsidR="00237107">
              <w:rPr>
                <w:rFonts w:asciiTheme="minorHAnsi" w:eastAsiaTheme="minorEastAsia" w:hAnsiTheme="minorHAnsi" w:cstheme="minorBidi"/>
                <w:noProof/>
                <w:color w:val="auto"/>
                <w:kern w:val="2"/>
                <w:sz w:val="24"/>
                <w:szCs w:val="24"/>
                <w:lang w:bidi="ar-SA"/>
                <w14:ligatures w14:val="standardContextual"/>
              </w:rPr>
              <w:tab/>
            </w:r>
            <w:r w:rsidR="00237107" w:rsidRPr="000E4574">
              <w:rPr>
                <w:rStyle w:val="Hyperkobling"/>
                <w:noProof/>
              </w:rPr>
              <w:t>Nåsituasjon og utfordringer</w:t>
            </w:r>
            <w:r w:rsidR="00237107">
              <w:rPr>
                <w:noProof/>
                <w:webHidden/>
              </w:rPr>
              <w:tab/>
            </w:r>
            <w:r w:rsidR="00237107">
              <w:rPr>
                <w:noProof/>
                <w:webHidden/>
              </w:rPr>
              <w:fldChar w:fldCharType="begin"/>
            </w:r>
            <w:r w:rsidR="00237107">
              <w:rPr>
                <w:noProof/>
                <w:webHidden/>
              </w:rPr>
              <w:instrText xml:space="preserve"> PAGEREF _Toc192525149 \h </w:instrText>
            </w:r>
            <w:r w:rsidR="00237107">
              <w:rPr>
                <w:noProof/>
                <w:webHidden/>
              </w:rPr>
            </w:r>
            <w:r w:rsidR="00237107">
              <w:rPr>
                <w:noProof/>
                <w:webHidden/>
              </w:rPr>
              <w:fldChar w:fldCharType="separate"/>
            </w:r>
            <w:r w:rsidR="00237107">
              <w:rPr>
                <w:noProof/>
                <w:webHidden/>
              </w:rPr>
              <w:t>10</w:t>
            </w:r>
            <w:r w:rsidR="00237107">
              <w:rPr>
                <w:noProof/>
                <w:webHidden/>
              </w:rPr>
              <w:fldChar w:fldCharType="end"/>
            </w:r>
          </w:hyperlink>
        </w:p>
        <w:p w14:paraId="0E9FD993" w14:textId="03002AD7" w:rsidR="00237107" w:rsidRDefault="00B76ADC">
          <w:pPr>
            <w:pStyle w:val="INNH2"/>
            <w:tabs>
              <w:tab w:val="left" w:pos="960"/>
              <w:tab w:val="right" w:leader="dot" w:pos="9060"/>
            </w:tabs>
            <w:rPr>
              <w:rFonts w:asciiTheme="minorHAnsi" w:eastAsiaTheme="minorEastAsia" w:hAnsiTheme="minorHAnsi" w:cstheme="minorBidi"/>
              <w:noProof/>
              <w:color w:val="auto"/>
              <w:kern w:val="2"/>
              <w:sz w:val="24"/>
              <w:szCs w:val="24"/>
              <w:lang w:bidi="ar-SA"/>
              <w14:ligatures w14:val="standardContextual"/>
            </w:rPr>
          </w:pPr>
          <w:hyperlink w:anchor="_Toc192525150" w:history="1">
            <w:r w:rsidR="00237107" w:rsidRPr="000E4574">
              <w:rPr>
                <w:rStyle w:val="Hyperkobling"/>
                <w:noProof/>
              </w:rPr>
              <w:t>6.1</w:t>
            </w:r>
            <w:r w:rsidR="00237107">
              <w:rPr>
                <w:rFonts w:asciiTheme="minorHAnsi" w:eastAsiaTheme="minorEastAsia" w:hAnsiTheme="minorHAnsi" w:cstheme="minorBidi"/>
                <w:noProof/>
                <w:color w:val="auto"/>
                <w:kern w:val="2"/>
                <w:sz w:val="24"/>
                <w:szCs w:val="24"/>
                <w:lang w:bidi="ar-SA"/>
                <w14:ligatures w14:val="standardContextual"/>
              </w:rPr>
              <w:tab/>
            </w:r>
            <w:r w:rsidR="00237107" w:rsidRPr="000E4574">
              <w:rPr>
                <w:rStyle w:val="Hyperkobling"/>
                <w:noProof/>
              </w:rPr>
              <w:t>Viktige nasjonale dokumenter</w:t>
            </w:r>
            <w:r w:rsidR="00237107">
              <w:rPr>
                <w:noProof/>
                <w:webHidden/>
              </w:rPr>
              <w:tab/>
            </w:r>
            <w:r w:rsidR="00237107">
              <w:rPr>
                <w:noProof/>
                <w:webHidden/>
              </w:rPr>
              <w:fldChar w:fldCharType="begin"/>
            </w:r>
            <w:r w:rsidR="00237107">
              <w:rPr>
                <w:noProof/>
                <w:webHidden/>
              </w:rPr>
              <w:instrText xml:space="preserve"> PAGEREF _Toc192525150 \h </w:instrText>
            </w:r>
            <w:r w:rsidR="00237107">
              <w:rPr>
                <w:noProof/>
                <w:webHidden/>
              </w:rPr>
            </w:r>
            <w:r w:rsidR="00237107">
              <w:rPr>
                <w:noProof/>
                <w:webHidden/>
              </w:rPr>
              <w:fldChar w:fldCharType="separate"/>
            </w:r>
            <w:r w:rsidR="00237107">
              <w:rPr>
                <w:noProof/>
                <w:webHidden/>
              </w:rPr>
              <w:t>10</w:t>
            </w:r>
            <w:r w:rsidR="00237107">
              <w:rPr>
                <w:noProof/>
                <w:webHidden/>
              </w:rPr>
              <w:fldChar w:fldCharType="end"/>
            </w:r>
          </w:hyperlink>
        </w:p>
        <w:p w14:paraId="256A8278" w14:textId="33DF8060" w:rsidR="00237107" w:rsidRDefault="00B76ADC">
          <w:pPr>
            <w:pStyle w:val="INNH2"/>
            <w:tabs>
              <w:tab w:val="left" w:pos="960"/>
              <w:tab w:val="right" w:leader="dot" w:pos="9060"/>
            </w:tabs>
            <w:rPr>
              <w:rFonts w:asciiTheme="minorHAnsi" w:eastAsiaTheme="minorEastAsia" w:hAnsiTheme="minorHAnsi" w:cstheme="minorBidi"/>
              <w:noProof/>
              <w:color w:val="auto"/>
              <w:kern w:val="2"/>
              <w:sz w:val="24"/>
              <w:szCs w:val="24"/>
              <w:lang w:bidi="ar-SA"/>
              <w14:ligatures w14:val="standardContextual"/>
            </w:rPr>
          </w:pPr>
          <w:hyperlink w:anchor="_Toc192525151" w:history="1">
            <w:r w:rsidR="00237107" w:rsidRPr="000E4574">
              <w:rPr>
                <w:rStyle w:val="Hyperkobling"/>
                <w:noProof/>
              </w:rPr>
              <w:t>6.2</w:t>
            </w:r>
            <w:r w:rsidR="00237107">
              <w:rPr>
                <w:rFonts w:asciiTheme="minorHAnsi" w:eastAsiaTheme="minorEastAsia" w:hAnsiTheme="minorHAnsi" w:cstheme="minorBidi"/>
                <w:noProof/>
                <w:color w:val="auto"/>
                <w:kern w:val="2"/>
                <w:sz w:val="24"/>
                <w:szCs w:val="24"/>
                <w:lang w:bidi="ar-SA"/>
                <w14:ligatures w14:val="standardContextual"/>
              </w:rPr>
              <w:tab/>
            </w:r>
            <w:r w:rsidR="00237107" w:rsidRPr="000E4574">
              <w:rPr>
                <w:rStyle w:val="Hyperkobling"/>
                <w:noProof/>
              </w:rPr>
              <w:t>Kliniske intervensjonsstudier</w:t>
            </w:r>
            <w:r w:rsidR="00237107">
              <w:rPr>
                <w:noProof/>
                <w:webHidden/>
              </w:rPr>
              <w:tab/>
            </w:r>
            <w:r w:rsidR="00237107">
              <w:rPr>
                <w:noProof/>
                <w:webHidden/>
              </w:rPr>
              <w:fldChar w:fldCharType="begin"/>
            </w:r>
            <w:r w:rsidR="00237107">
              <w:rPr>
                <w:noProof/>
                <w:webHidden/>
              </w:rPr>
              <w:instrText xml:space="preserve"> PAGEREF _Toc192525151 \h </w:instrText>
            </w:r>
            <w:r w:rsidR="00237107">
              <w:rPr>
                <w:noProof/>
                <w:webHidden/>
              </w:rPr>
            </w:r>
            <w:r w:rsidR="00237107">
              <w:rPr>
                <w:noProof/>
                <w:webHidden/>
              </w:rPr>
              <w:fldChar w:fldCharType="separate"/>
            </w:r>
            <w:r w:rsidR="00237107">
              <w:rPr>
                <w:noProof/>
                <w:webHidden/>
              </w:rPr>
              <w:t>11</w:t>
            </w:r>
            <w:r w:rsidR="00237107">
              <w:rPr>
                <w:noProof/>
                <w:webHidden/>
              </w:rPr>
              <w:fldChar w:fldCharType="end"/>
            </w:r>
          </w:hyperlink>
        </w:p>
        <w:p w14:paraId="021BF390" w14:textId="4B45FB33" w:rsidR="00237107" w:rsidRDefault="00B76ADC">
          <w:pPr>
            <w:pStyle w:val="INNH2"/>
            <w:tabs>
              <w:tab w:val="left" w:pos="960"/>
              <w:tab w:val="right" w:leader="dot" w:pos="9060"/>
            </w:tabs>
            <w:rPr>
              <w:rFonts w:asciiTheme="minorHAnsi" w:eastAsiaTheme="minorEastAsia" w:hAnsiTheme="minorHAnsi" w:cstheme="minorBidi"/>
              <w:noProof/>
              <w:color w:val="auto"/>
              <w:kern w:val="2"/>
              <w:sz w:val="24"/>
              <w:szCs w:val="24"/>
              <w:lang w:bidi="ar-SA"/>
              <w14:ligatures w14:val="standardContextual"/>
            </w:rPr>
          </w:pPr>
          <w:hyperlink w:anchor="_Toc192525152" w:history="1">
            <w:r w:rsidR="00237107" w:rsidRPr="000E4574">
              <w:rPr>
                <w:rStyle w:val="Hyperkobling"/>
                <w:noProof/>
              </w:rPr>
              <w:t>6.3</w:t>
            </w:r>
            <w:r w:rsidR="00237107">
              <w:rPr>
                <w:rFonts w:asciiTheme="minorHAnsi" w:eastAsiaTheme="minorEastAsia" w:hAnsiTheme="minorHAnsi" w:cstheme="minorBidi"/>
                <w:noProof/>
                <w:color w:val="auto"/>
                <w:kern w:val="2"/>
                <w:sz w:val="24"/>
                <w:szCs w:val="24"/>
                <w:lang w:bidi="ar-SA"/>
                <w14:ligatures w14:val="standardContextual"/>
              </w:rPr>
              <w:tab/>
            </w:r>
            <w:r w:rsidR="00237107" w:rsidRPr="000E4574">
              <w:rPr>
                <w:rStyle w:val="Hyperkobling"/>
                <w:noProof/>
              </w:rPr>
              <w:t>Observasjonsstudier</w:t>
            </w:r>
            <w:r w:rsidR="00237107">
              <w:rPr>
                <w:noProof/>
                <w:webHidden/>
              </w:rPr>
              <w:tab/>
            </w:r>
            <w:r w:rsidR="00237107">
              <w:rPr>
                <w:noProof/>
                <w:webHidden/>
              </w:rPr>
              <w:fldChar w:fldCharType="begin"/>
            </w:r>
            <w:r w:rsidR="00237107">
              <w:rPr>
                <w:noProof/>
                <w:webHidden/>
              </w:rPr>
              <w:instrText xml:space="preserve"> PAGEREF _Toc192525152 \h </w:instrText>
            </w:r>
            <w:r w:rsidR="00237107">
              <w:rPr>
                <w:noProof/>
                <w:webHidden/>
              </w:rPr>
            </w:r>
            <w:r w:rsidR="00237107">
              <w:rPr>
                <w:noProof/>
                <w:webHidden/>
              </w:rPr>
              <w:fldChar w:fldCharType="separate"/>
            </w:r>
            <w:r w:rsidR="00237107">
              <w:rPr>
                <w:noProof/>
                <w:webHidden/>
              </w:rPr>
              <w:t>20</w:t>
            </w:r>
            <w:r w:rsidR="00237107">
              <w:rPr>
                <w:noProof/>
                <w:webHidden/>
              </w:rPr>
              <w:fldChar w:fldCharType="end"/>
            </w:r>
          </w:hyperlink>
        </w:p>
        <w:p w14:paraId="055B971C" w14:textId="2825DAED" w:rsidR="00237107" w:rsidRDefault="00B76ADC">
          <w:pPr>
            <w:pStyle w:val="INNH2"/>
            <w:tabs>
              <w:tab w:val="left" w:pos="960"/>
              <w:tab w:val="right" w:leader="dot" w:pos="9060"/>
            </w:tabs>
            <w:rPr>
              <w:rFonts w:asciiTheme="minorHAnsi" w:eastAsiaTheme="minorEastAsia" w:hAnsiTheme="minorHAnsi" w:cstheme="minorBidi"/>
              <w:noProof/>
              <w:color w:val="auto"/>
              <w:kern w:val="2"/>
              <w:sz w:val="24"/>
              <w:szCs w:val="24"/>
              <w:lang w:bidi="ar-SA"/>
              <w14:ligatures w14:val="standardContextual"/>
            </w:rPr>
          </w:pPr>
          <w:hyperlink w:anchor="_Toc192525153" w:history="1">
            <w:r w:rsidR="00237107" w:rsidRPr="000E4574">
              <w:rPr>
                <w:rStyle w:val="Hyperkobling"/>
                <w:noProof/>
              </w:rPr>
              <w:t>6.4</w:t>
            </w:r>
            <w:r w:rsidR="00237107">
              <w:rPr>
                <w:rFonts w:asciiTheme="minorHAnsi" w:eastAsiaTheme="minorEastAsia" w:hAnsiTheme="minorHAnsi" w:cstheme="minorBidi"/>
                <w:noProof/>
                <w:color w:val="auto"/>
                <w:kern w:val="2"/>
                <w:sz w:val="24"/>
                <w:szCs w:val="24"/>
                <w:lang w:bidi="ar-SA"/>
                <w14:ligatures w14:val="standardContextual"/>
              </w:rPr>
              <w:tab/>
            </w:r>
            <w:r w:rsidR="00237107" w:rsidRPr="000E4574">
              <w:rPr>
                <w:rStyle w:val="Hyperkobling"/>
                <w:noProof/>
              </w:rPr>
              <w:t>Pragmatiske studier og registerbaserte kliniske studier</w:t>
            </w:r>
            <w:r w:rsidR="00237107">
              <w:rPr>
                <w:noProof/>
                <w:webHidden/>
              </w:rPr>
              <w:tab/>
            </w:r>
            <w:r w:rsidR="00237107">
              <w:rPr>
                <w:noProof/>
                <w:webHidden/>
              </w:rPr>
              <w:fldChar w:fldCharType="begin"/>
            </w:r>
            <w:r w:rsidR="00237107">
              <w:rPr>
                <w:noProof/>
                <w:webHidden/>
              </w:rPr>
              <w:instrText xml:space="preserve"> PAGEREF _Toc192525153 \h </w:instrText>
            </w:r>
            <w:r w:rsidR="00237107">
              <w:rPr>
                <w:noProof/>
                <w:webHidden/>
              </w:rPr>
            </w:r>
            <w:r w:rsidR="00237107">
              <w:rPr>
                <w:noProof/>
                <w:webHidden/>
              </w:rPr>
              <w:fldChar w:fldCharType="separate"/>
            </w:r>
            <w:r w:rsidR="00237107">
              <w:rPr>
                <w:noProof/>
                <w:webHidden/>
              </w:rPr>
              <w:t>21</w:t>
            </w:r>
            <w:r w:rsidR="00237107">
              <w:rPr>
                <w:noProof/>
                <w:webHidden/>
              </w:rPr>
              <w:fldChar w:fldCharType="end"/>
            </w:r>
          </w:hyperlink>
        </w:p>
        <w:p w14:paraId="25C0BEB4" w14:textId="3BDA396C" w:rsidR="00237107" w:rsidRDefault="00B76ADC">
          <w:pPr>
            <w:pStyle w:val="INNH2"/>
            <w:tabs>
              <w:tab w:val="left" w:pos="960"/>
              <w:tab w:val="right" w:leader="dot" w:pos="9060"/>
            </w:tabs>
            <w:rPr>
              <w:rFonts w:asciiTheme="minorHAnsi" w:eastAsiaTheme="minorEastAsia" w:hAnsiTheme="minorHAnsi" w:cstheme="minorBidi"/>
              <w:noProof/>
              <w:color w:val="auto"/>
              <w:kern w:val="2"/>
              <w:sz w:val="24"/>
              <w:szCs w:val="24"/>
              <w:lang w:bidi="ar-SA"/>
              <w14:ligatures w14:val="standardContextual"/>
            </w:rPr>
          </w:pPr>
          <w:hyperlink w:anchor="_Toc192525154" w:history="1">
            <w:r w:rsidR="00237107" w:rsidRPr="000E4574">
              <w:rPr>
                <w:rStyle w:val="Hyperkobling"/>
                <w:noProof/>
              </w:rPr>
              <w:t>6.5</w:t>
            </w:r>
            <w:r w:rsidR="00237107">
              <w:rPr>
                <w:rFonts w:asciiTheme="minorHAnsi" w:eastAsiaTheme="minorEastAsia" w:hAnsiTheme="minorHAnsi" w:cstheme="minorBidi"/>
                <w:noProof/>
                <w:color w:val="auto"/>
                <w:kern w:val="2"/>
                <w:sz w:val="24"/>
                <w:szCs w:val="24"/>
                <w:lang w:bidi="ar-SA"/>
                <w14:ligatures w14:val="standardContextual"/>
              </w:rPr>
              <w:tab/>
            </w:r>
            <w:r w:rsidR="00237107" w:rsidRPr="000E4574">
              <w:rPr>
                <w:rStyle w:val="Hyperkobling"/>
                <w:noProof/>
              </w:rPr>
              <w:t>Studier i primærhelsetjenesten</w:t>
            </w:r>
            <w:r w:rsidR="00237107">
              <w:rPr>
                <w:noProof/>
                <w:webHidden/>
              </w:rPr>
              <w:tab/>
            </w:r>
            <w:r w:rsidR="00237107">
              <w:rPr>
                <w:noProof/>
                <w:webHidden/>
              </w:rPr>
              <w:fldChar w:fldCharType="begin"/>
            </w:r>
            <w:r w:rsidR="00237107">
              <w:rPr>
                <w:noProof/>
                <w:webHidden/>
              </w:rPr>
              <w:instrText xml:space="preserve"> PAGEREF _Toc192525154 \h </w:instrText>
            </w:r>
            <w:r w:rsidR="00237107">
              <w:rPr>
                <w:noProof/>
                <w:webHidden/>
              </w:rPr>
            </w:r>
            <w:r w:rsidR="00237107">
              <w:rPr>
                <w:noProof/>
                <w:webHidden/>
              </w:rPr>
              <w:fldChar w:fldCharType="separate"/>
            </w:r>
            <w:r w:rsidR="00237107">
              <w:rPr>
                <w:noProof/>
                <w:webHidden/>
              </w:rPr>
              <w:t>21</w:t>
            </w:r>
            <w:r w:rsidR="00237107">
              <w:rPr>
                <w:noProof/>
                <w:webHidden/>
              </w:rPr>
              <w:fldChar w:fldCharType="end"/>
            </w:r>
          </w:hyperlink>
        </w:p>
        <w:p w14:paraId="6E60CC55" w14:textId="6FDF315E" w:rsidR="00237107" w:rsidRDefault="00B76ADC">
          <w:pPr>
            <w:pStyle w:val="INNH1"/>
            <w:tabs>
              <w:tab w:val="left" w:pos="440"/>
              <w:tab w:val="right" w:leader="dot" w:pos="9060"/>
            </w:tabs>
            <w:rPr>
              <w:rFonts w:asciiTheme="minorHAnsi" w:eastAsiaTheme="minorEastAsia" w:hAnsiTheme="minorHAnsi" w:cstheme="minorBidi"/>
              <w:noProof/>
              <w:color w:val="auto"/>
              <w:kern w:val="2"/>
              <w:sz w:val="24"/>
              <w:szCs w:val="24"/>
              <w:lang w:bidi="ar-SA"/>
              <w14:ligatures w14:val="standardContextual"/>
            </w:rPr>
          </w:pPr>
          <w:hyperlink w:anchor="_Toc192525155" w:history="1">
            <w:r w:rsidR="00237107" w:rsidRPr="000E4574">
              <w:rPr>
                <w:rStyle w:val="Hyperkobling"/>
                <w:noProof/>
                <w14:scene3d>
                  <w14:camera w14:prst="orthographicFront"/>
                  <w14:lightRig w14:rig="threePt" w14:dir="t">
                    <w14:rot w14:lat="0" w14:lon="0" w14:rev="0"/>
                  </w14:lightRig>
                </w14:scene3d>
              </w:rPr>
              <w:t>7</w:t>
            </w:r>
            <w:r w:rsidR="00237107">
              <w:rPr>
                <w:rFonts w:asciiTheme="minorHAnsi" w:eastAsiaTheme="minorEastAsia" w:hAnsiTheme="minorHAnsi" w:cstheme="minorBidi"/>
                <w:noProof/>
                <w:color w:val="auto"/>
                <w:kern w:val="2"/>
                <w:sz w:val="24"/>
                <w:szCs w:val="24"/>
                <w:lang w:bidi="ar-SA"/>
                <w14:ligatures w14:val="standardContextual"/>
              </w:rPr>
              <w:tab/>
            </w:r>
            <w:r w:rsidR="00237107" w:rsidRPr="000E4574">
              <w:rPr>
                <w:rStyle w:val="Hyperkobling"/>
                <w:noProof/>
              </w:rPr>
              <w:t>Overordnet oppsummering fra kartleggingen</w:t>
            </w:r>
            <w:r w:rsidR="00237107">
              <w:rPr>
                <w:noProof/>
                <w:webHidden/>
              </w:rPr>
              <w:tab/>
            </w:r>
            <w:r w:rsidR="00237107">
              <w:rPr>
                <w:noProof/>
                <w:webHidden/>
              </w:rPr>
              <w:fldChar w:fldCharType="begin"/>
            </w:r>
            <w:r w:rsidR="00237107">
              <w:rPr>
                <w:noProof/>
                <w:webHidden/>
              </w:rPr>
              <w:instrText xml:space="preserve"> PAGEREF _Toc192525155 \h </w:instrText>
            </w:r>
            <w:r w:rsidR="00237107">
              <w:rPr>
                <w:noProof/>
                <w:webHidden/>
              </w:rPr>
            </w:r>
            <w:r w:rsidR="00237107">
              <w:rPr>
                <w:noProof/>
                <w:webHidden/>
              </w:rPr>
              <w:fldChar w:fldCharType="separate"/>
            </w:r>
            <w:r w:rsidR="00237107">
              <w:rPr>
                <w:noProof/>
                <w:webHidden/>
              </w:rPr>
              <w:t>21</w:t>
            </w:r>
            <w:r w:rsidR="00237107">
              <w:rPr>
                <w:noProof/>
                <w:webHidden/>
              </w:rPr>
              <w:fldChar w:fldCharType="end"/>
            </w:r>
          </w:hyperlink>
        </w:p>
        <w:p w14:paraId="128BB861" w14:textId="38A52640" w:rsidR="00237107" w:rsidRDefault="00B76ADC">
          <w:pPr>
            <w:pStyle w:val="INNH1"/>
            <w:tabs>
              <w:tab w:val="left" w:pos="440"/>
              <w:tab w:val="right" w:leader="dot" w:pos="9060"/>
            </w:tabs>
            <w:rPr>
              <w:rFonts w:asciiTheme="minorHAnsi" w:eastAsiaTheme="minorEastAsia" w:hAnsiTheme="minorHAnsi" w:cstheme="minorBidi"/>
              <w:noProof/>
              <w:color w:val="auto"/>
              <w:kern w:val="2"/>
              <w:sz w:val="24"/>
              <w:szCs w:val="24"/>
              <w:lang w:bidi="ar-SA"/>
              <w14:ligatures w14:val="standardContextual"/>
            </w:rPr>
          </w:pPr>
          <w:hyperlink w:anchor="_Toc192525156" w:history="1">
            <w:r w:rsidR="00237107" w:rsidRPr="000E4574">
              <w:rPr>
                <w:rStyle w:val="Hyperkobling"/>
                <w:noProof/>
                <w14:scene3d>
                  <w14:camera w14:prst="orthographicFront"/>
                  <w14:lightRig w14:rig="threePt" w14:dir="t">
                    <w14:rot w14:lat="0" w14:lon="0" w14:rev="0"/>
                  </w14:lightRig>
                </w14:scene3d>
              </w:rPr>
              <w:t>8</w:t>
            </w:r>
            <w:r w:rsidR="00237107">
              <w:rPr>
                <w:rFonts w:asciiTheme="minorHAnsi" w:eastAsiaTheme="minorEastAsia" w:hAnsiTheme="minorHAnsi" w:cstheme="minorBidi"/>
                <w:noProof/>
                <w:color w:val="auto"/>
                <w:kern w:val="2"/>
                <w:sz w:val="24"/>
                <w:szCs w:val="24"/>
                <w:lang w:bidi="ar-SA"/>
                <w14:ligatures w14:val="standardContextual"/>
              </w:rPr>
              <w:tab/>
            </w:r>
            <w:r w:rsidR="00237107" w:rsidRPr="000E4574">
              <w:rPr>
                <w:rStyle w:val="Hyperkobling"/>
                <w:noProof/>
              </w:rPr>
              <w:t>Anbefalinger</w:t>
            </w:r>
            <w:r w:rsidR="00237107">
              <w:rPr>
                <w:noProof/>
                <w:webHidden/>
              </w:rPr>
              <w:tab/>
            </w:r>
            <w:r w:rsidR="00237107">
              <w:rPr>
                <w:noProof/>
                <w:webHidden/>
              </w:rPr>
              <w:fldChar w:fldCharType="begin"/>
            </w:r>
            <w:r w:rsidR="00237107">
              <w:rPr>
                <w:noProof/>
                <w:webHidden/>
              </w:rPr>
              <w:instrText xml:space="preserve"> PAGEREF _Toc192525156 \h </w:instrText>
            </w:r>
            <w:r w:rsidR="00237107">
              <w:rPr>
                <w:noProof/>
                <w:webHidden/>
              </w:rPr>
            </w:r>
            <w:r w:rsidR="00237107">
              <w:rPr>
                <w:noProof/>
                <w:webHidden/>
              </w:rPr>
              <w:fldChar w:fldCharType="separate"/>
            </w:r>
            <w:r w:rsidR="00237107">
              <w:rPr>
                <w:noProof/>
                <w:webHidden/>
              </w:rPr>
              <w:t>23</w:t>
            </w:r>
            <w:r w:rsidR="00237107">
              <w:rPr>
                <w:noProof/>
                <w:webHidden/>
              </w:rPr>
              <w:fldChar w:fldCharType="end"/>
            </w:r>
          </w:hyperlink>
        </w:p>
        <w:p w14:paraId="152D14DE" w14:textId="314ED91E" w:rsidR="00237107" w:rsidRDefault="00B76ADC">
          <w:pPr>
            <w:pStyle w:val="INNH2"/>
            <w:tabs>
              <w:tab w:val="left" w:pos="960"/>
              <w:tab w:val="right" w:leader="dot" w:pos="9060"/>
            </w:tabs>
            <w:rPr>
              <w:rFonts w:asciiTheme="minorHAnsi" w:eastAsiaTheme="minorEastAsia" w:hAnsiTheme="minorHAnsi" w:cstheme="minorBidi"/>
              <w:noProof/>
              <w:color w:val="auto"/>
              <w:kern w:val="2"/>
              <w:sz w:val="24"/>
              <w:szCs w:val="24"/>
              <w:lang w:bidi="ar-SA"/>
              <w14:ligatures w14:val="standardContextual"/>
            </w:rPr>
          </w:pPr>
          <w:hyperlink w:anchor="_Toc192525157" w:history="1">
            <w:r w:rsidR="00237107" w:rsidRPr="000E4574">
              <w:rPr>
                <w:rStyle w:val="Hyperkobling"/>
                <w:noProof/>
              </w:rPr>
              <w:t>8.1</w:t>
            </w:r>
            <w:r w:rsidR="00237107">
              <w:rPr>
                <w:rFonts w:asciiTheme="minorHAnsi" w:eastAsiaTheme="minorEastAsia" w:hAnsiTheme="minorHAnsi" w:cstheme="minorBidi"/>
                <w:noProof/>
                <w:color w:val="auto"/>
                <w:kern w:val="2"/>
                <w:sz w:val="24"/>
                <w:szCs w:val="24"/>
                <w:lang w:bidi="ar-SA"/>
                <w14:ligatures w14:val="standardContextual"/>
              </w:rPr>
              <w:tab/>
            </w:r>
            <w:r w:rsidR="00237107" w:rsidRPr="000E4574">
              <w:rPr>
                <w:rStyle w:val="Hyperkobling"/>
                <w:noProof/>
              </w:rPr>
              <w:t>Tjenester til støtte for kliniske studier</w:t>
            </w:r>
            <w:r w:rsidR="00237107">
              <w:rPr>
                <w:noProof/>
                <w:webHidden/>
              </w:rPr>
              <w:tab/>
            </w:r>
            <w:r w:rsidR="00237107">
              <w:rPr>
                <w:noProof/>
                <w:webHidden/>
              </w:rPr>
              <w:fldChar w:fldCharType="begin"/>
            </w:r>
            <w:r w:rsidR="00237107">
              <w:rPr>
                <w:noProof/>
                <w:webHidden/>
              </w:rPr>
              <w:instrText xml:space="preserve"> PAGEREF _Toc192525157 \h </w:instrText>
            </w:r>
            <w:r w:rsidR="00237107">
              <w:rPr>
                <w:noProof/>
                <w:webHidden/>
              </w:rPr>
            </w:r>
            <w:r w:rsidR="00237107">
              <w:rPr>
                <w:noProof/>
                <w:webHidden/>
              </w:rPr>
              <w:fldChar w:fldCharType="separate"/>
            </w:r>
            <w:r w:rsidR="00237107">
              <w:rPr>
                <w:noProof/>
                <w:webHidden/>
              </w:rPr>
              <w:t>24</w:t>
            </w:r>
            <w:r w:rsidR="00237107">
              <w:rPr>
                <w:noProof/>
                <w:webHidden/>
              </w:rPr>
              <w:fldChar w:fldCharType="end"/>
            </w:r>
          </w:hyperlink>
        </w:p>
        <w:p w14:paraId="7D8641E4" w14:textId="3AB39325" w:rsidR="00237107" w:rsidRDefault="00B76ADC">
          <w:pPr>
            <w:pStyle w:val="INNH2"/>
            <w:tabs>
              <w:tab w:val="left" w:pos="960"/>
              <w:tab w:val="right" w:leader="dot" w:pos="9060"/>
            </w:tabs>
            <w:rPr>
              <w:rFonts w:asciiTheme="minorHAnsi" w:eastAsiaTheme="minorEastAsia" w:hAnsiTheme="minorHAnsi" w:cstheme="minorBidi"/>
              <w:noProof/>
              <w:color w:val="auto"/>
              <w:kern w:val="2"/>
              <w:sz w:val="24"/>
              <w:szCs w:val="24"/>
              <w:lang w:bidi="ar-SA"/>
              <w14:ligatures w14:val="standardContextual"/>
            </w:rPr>
          </w:pPr>
          <w:hyperlink w:anchor="_Toc192525158" w:history="1">
            <w:r w:rsidR="00237107" w:rsidRPr="000E4574">
              <w:rPr>
                <w:rStyle w:val="Hyperkobling"/>
                <w:noProof/>
              </w:rPr>
              <w:t>8.2</w:t>
            </w:r>
            <w:r w:rsidR="00237107">
              <w:rPr>
                <w:rFonts w:asciiTheme="minorHAnsi" w:eastAsiaTheme="minorEastAsia" w:hAnsiTheme="minorHAnsi" w:cstheme="minorBidi"/>
                <w:noProof/>
                <w:color w:val="auto"/>
                <w:kern w:val="2"/>
                <w:sz w:val="24"/>
                <w:szCs w:val="24"/>
                <w:lang w:bidi="ar-SA"/>
                <w14:ligatures w14:val="standardContextual"/>
              </w:rPr>
              <w:tab/>
            </w:r>
            <w:r w:rsidR="00237107" w:rsidRPr="000E4574">
              <w:rPr>
                <w:rStyle w:val="Hyperkobling"/>
                <w:noProof/>
              </w:rPr>
              <w:t>Ytterligere anbefalinger for utvikling av nye tjenester i forskningsstøtte</w:t>
            </w:r>
            <w:r w:rsidR="00237107">
              <w:rPr>
                <w:noProof/>
                <w:webHidden/>
              </w:rPr>
              <w:tab/>
            </w:r>
            <w:r w:rsidR="00237107">
              <w:rPr>
                <w:noProof/>
                <w:webHidden/>
              </w:rPr>
              <w:fldChar w:fldCharType="begin"/>
            </w:r>
            <w:r w:rsidR="00237107">
              <w:rPr>
                <w:noProof/>
                <w:webHidden/>
              </w:rPr>
              <w:instrText xml:space="preserve"> PAGEREF _Toc192525158 \h </w:instrText>
            </w:r>
            <w:r w:rsidR="00237107">
              <w:rPr>
                <w:noProof/>
                <w:webHidden/>
              </w:rPr>
            </w:r>
            <w:r w:rsidR="00237107">
              <w:rPr>
                <w:noProof/>
                <w:webHidden/>
              </w:rPr>
              <w:fldChar w:fldCharType="separate"/>
            </w:r>
            <w:r w:rsidR="00237107">
              <w:rPr>
                <w:noProof/>
                <w:webHidden/>
              </w:rPr>
              <w:t>27</w:t>
            </w:r>
            <w:r w:rsidR="00237107">
              <w:rPr>
                <w:noProof/>
                <w:webHidden/>
              </w:rPr>
              <w:fldChar w:fldCharType="end"/>
            </w:r>
          </w:hyperlink>
        </w:p>
        <w:p w14:paraId="229ABF57" w14:textId="4410FFD0" w:rsidR="00237107" w:rsidRDefault="00B76ADC">
          <w:pPr>
            <w:pStyle w:val="INNH2"/>
            <w:tabs>
              <w:tab w:val="left" w:pos="960"/>
              <w:tab w:val="right" w:leader="dot" w:pos="9060"/>
            </w:tabs>
            <w:rPr>
              <w:rFonts w:asciiTheme="minorHAnsi" w:eastAsiaTheme="minorEastAsia" w:hAnsiTheme="minorHAnsi" w:cstheme="minorBidi"/>
              <w:noProof/>
              <w:color w:val="auto"/>
              <w:kern w:val="2"/>
              <w:sz w:val="24"/>
              <w:szCs w:val="24"/>
              <w:lang w:bidi="ar-SA"/>
              <w14:ligatures w14:val="standardContextual"/>
            </w:rPr>
          </w:pPr>
          <w:hyperlink w:anchor="_Toc192525159" w:history="1">
            <w:r w:rsidR="00237107" w:rsidRPr="000E4574">
              <w:rPr>
                <w:rStyle w:val="Hyperkobling"/>
                <w:noProof/>
              </w:rPr>
              <w:t>8.3</w:t>
            </w:r>
            <w:r w:rsidR="00237107">
              <w:rPr>
                <w:rFonts w:asciiTheme="minorHAnsi" w:eastAsiaTheme="minorEastAsia" w:hAnsiTheme="minorHAnsi" w:cstheme="minorBidi"/>
                <w:noProof/>
                <w:color w:val="auto"/>
                <w:kern w:val="2"/>
                <w:sz w:val="24"/>
                <w:szCs w:val="24"/>
                <w:lang w:bidi="ar-SA"/>
                <w14:ligatures w14:val="standardContextual"/>
              </w:rPr>
              <w:tab/>
            </w:r>
            <w:r w:rsidR="00237107" w:rsidRPr="000E4574">
              <w:rPr>
                <w:rStyle w:val="Hyperkobling"/>
                <w:noProof/>
              </w:rPr>
              <w:t>Håndtering av studieforespørsler/feasibility</w:t>
            </w:r>
            <w:r w:rsidR="00237107">
              <w:rPr>
                <w:noProof/>
                <w:webHidden/>
              </w:rPr>
              <w:tab/>
            </w:r>
            <w:r w:rsidR="00237107">
              <w:rPr>
                <w:noProof/>
                <w:webHidden/>
              </w:rPr>
              <w:fldChar w:fldCharType="begin"/>
            </w:r>
            <w:r w:rsidR="00237107">
              <w:rPr>
                <w:noProof/>
                <w:webHidden/>
              </w:rPr>
              <w:instrText xml:space="preserve"> PAGEREF _Toc192525159 \h </w:instrText>
            </w:r>
            <w:r w:rsidR="00237107">
              <w:rPr>
                <w:noProof/>
                <w:webHidden/>
              </w:rPr>
            </w:r>
            <w:r w:rsidR="00237107">
              <w:rPr>
                <w:noProof/>
                <w:webHidden/>
              </w:rPr>
              <w:fldChar w:fldCharType="separate"/>
            </w:r>
            <w:r w:rsidR="00237107">
              <w:rPr>
                <w:noProof/>
                <w:webHidden/>
              </w:rPr>
              <w:t>28</w:t>
            </w:r>
            <w:r w:rsidR="00237107">
              <w:rPr>
                <w:noProof/>
                <w:webHidden/>
              </w:rPr>
              <w:fldChar w:fldCharType="end"/>
            </w:r>
          </w:hyperlink>
        </w:p>
        <w:p w14:paraId="25AB3BA8" w14:textId="5B56AC04" w:rsidR="00237107" w:rsidRDefault="00B76ADC">
          <w:pPr>
            <w:pStyle w:val="INNH2"/>
            <w:tabs>
              <w:tab w:val="left" w:pos="960"/>
              <w:tab w:val="right" w:leader="dot" w:pos="9060"/>
            </w:tabs>
            <w:rPr>
              <w:rFonts w:asciiTheme="minorHAnsi" w:eastAsiaTheme="minorEastAsia" w:hAnsiTheme="minorHAnsi" w:cstheme="minorBidi"/>
              <w:noProof/>
              <w:color w:val="auto"/>
              <w:kern w:val="2"/>
              <w:sz w:val="24"/>
              <w:szCs w:val="24"/>
              <w:lang w:bidi="ar-SA"/>
              <w14:ligatures w14:val="standardContextual"/>
            </w:rPr>
          </w:pPr>
          <w:hyperlink w:anchor="_Toc192525160" w:history="1">
            <w:r w:rsidR="00237107" w:rsidRPr="000E4574">
              <w:rPr>
                <w:rStyle w:val="Hyperkobling"/>
                <w:noProof/>
              </w:rPr>
              <w:t>8.4</w:t>
            </w:r>
            <w:r w:rsidR="00237107">
              <w:rPr>
                <w:rFonts w:asciiTheme="minorHAnsi" w:eastAsiaTheme="minorEastAsia" w:hAnsiTheme="minorHAnsi" w:cstheme="minorBidi"/>
                <w:noProof/>
                <w:color w:val="auto"/>
                <w:kern w:val="2"/>
                <w:sz w:val="24"/>
                <w:szCs w:val="24"/>
                <w:lang w:bidi="ar-SA"/>
                <w14:ligatures w14:val="standardContextual"/>
              </w:rPr>
              <w:tab/>
            </w:r>
            <w:r w:rsidR="00237107" w:rsidRPr="000E4574">
              <w:rPr>
                <w:rStyle w:val="Hyperkobling"/>
                <w:noProof/>
              </w:rPr>
              <w:t>Kurs og opplæring</w:t>
            </w:r>
            <w:r w:rsidR="00237107">
              <w:rPr>
                <w:noProof/>
                <w:webHidden/>
              </w:rPr>
              <w:tab/>
            </w:r>
            <w:r w:rsidR="00237107">
              <w:rPr>
                <w:noProof/>
                <w:webHidden/>
              </w:rPr>
              <w:fldChar w:fldCharType="begin"/>
            </w:r>
            <w:r w:rsidR="00237107">
              <w:rPr>
                <w:noProof/>
                <w:webHidden/>
              </w:rPr>
              <w:instrText xml:space="preserve"> PAGEREF _Toc192525160 \h </w:instrText>
            </w:r>
            <w:r w:rsidR="00237107">
              <w:rPr>
                <w:noProof/>
                <w:webHidden/>
              </w:rPr>
            </w:r>
            <w:r w:rsidR="00237107">
              <w:rPr>
                <w:noProof/>
                <w:webHidden/>
              </w:rPr>
              <w:fldChar w:fldCharType="separate"/>
            </w:r>
            <w:r w:rsidR="00237107">
              <w:rPr>
                <w:noProof/>
                <w:webHidden/>
              </w:rPr>
              <w:t>28</w:t>
            </w:r>
            <w:r w:rsidR="00237107">
              <w:rPr>
                <w:noProof/>
                <w:webHidden/>
              </w:rPr>
              <w:fldChar w:fldCharType="end"/>
            </w:r>
          </w:hyperlink>
        </w:p>
        <w:p w14:paraId="351C67B6" w14:textId="1CF68470" w:rsidR="00237107" w:rsidRDefault="00B76ADC">
          <w:pPr>
            <w:pStyle w:val="INNH2"/>
            <w:tabs>
              <w:tab w:val="left" w:pos="960"/>
              <w:tab w:val="right" w:leader="dot" w:pos="9060"/>
            </w:tabs>
            <w:rPr>
              <w:rFonts w:asciiTheme="minorHAnsi" w:eastAsiaTheme="minorEastAsia" w:hAnsiTheme="minorHAnsi" w:cstheme="minorBidi"/>
              <w:noProof/>
              <w:color w:val="auto"/>
              <w:kern w:val="2"/>
              <w:sz w:val="24"/>
              <w:szCs w:val="24"/>
              <w:lang w:bidi="ar-SA"/>
              <w14:ligatures w14:val="standardContextual"/>
            </w:rPr>
          </w:pPr>
          <w:hyperlink w:anchor="_Toc192525161" w:history="1">
            <w:r w:rsidR="00237107" w:rsidRPr="000E4574">
              <w:rPr>
                <w:rStyle w:val="Hyperkobling"/>
                <w:noProof/>
              </w:rPr>
              <w:t>8.5</w:t>
            </w:r>
            <w:r w:rsidR="00237107">
              <w:rPr>
                <w:rFonts w:asciiTheme="minorHAnsi" w:eastAsiaTheme="minorEastAsia" w:hAnsiTheme="minorHAnsi" w:cstheme="minorBidi"/>
                <w:noProof/>
                <w:color w:val="auto"/>
                <w:kern w:val="2"/>
                <w:sz w:val="24"/>
                <w:szCs w:val="24"/>
                <w:lang w:bidi="ar-SA"/>
                <w14:ligatures w14:val="standardContextual"/>
              </w:rPr>
              <w:tab/>
            </w:r>
            <w:r w:rsidR="00237107" w:rsidRPr="000E4574">
              <w:rPr>
                <w:rStyle w:val="Hyperkobling"/>
                <w:noProof/>
              </w:rPr>
              <w:t>Internkontroll/kvalitet</w:t>
            </w:r>
            <w:r w:rsidR="00237107">
              <w:rPr>
                <w:noProof/>
                <w:webHidden/>
              </w:rPr>
              <w:tab/>
            </w:r>
            <w:r w:rsidR="00237107">
              <w:rPr>
                <w:noProof/>
                <w:webHidden/>
              </w:rPr>
              <w:fldChar w:fldCharType="begin"/>
            </w:r>
            <w:r w:rsidR="00237107">
              <w:rPr>
                <w:noProof/>
                <w:webHidden/>
              </w:rPr>
              <w:instrText xml:space="preserve"> PAGEREF _Toc192525161 \h </w:instrText>
            </w:r>
            <w:r w:rsidR="00237107">
              <w:rPr>
                <w:noProof/>
                <w:webHidden/>
              </w:rPr>
            </w:r>
            <w:r w:rsidR="00237107">
              <w:rPr>
                <w:noProof/>
                <w:webHidden/>
              </w:rPr>
              <w:fldChar w:fldCharType="separate"/>
            </w:r>
            <w:r w:rsidR="00237107">
              <w:rPr>
                <w:noProof/>
                <w:webHidden/>
              </w:rPr>
              <w:t>29</w:t>
            </w:r>
            <w:r w:rsidR="00237107">
              <w:rPr>
                <w:noProof/>
                <w:webHidden/>
              </w:rPr>
              <w:fldChar w:fldCharType="end"/>
            </w:r>
          </w:hyperlink>
        </w:p>
        <w:p w14:paraId="1DC37621" w14:textId="576F142B" w:rsidR="00237107" w:rsidRDefault="00B76ADC">
          <w:pPr>
            <w:pStyle w:val="INNH2"/>
            <w:tabs>
              <w:tab w:val="left" w:pos="960"/>
              <w:tab w:val="right" w:leader="dot" w:pos="9060"/>
            </w:tabs>
            <w:rPr>
              <w:rFonts w:asciiTheme="minorHAnsi" w:eastAsiaTheme="minorEastAsia" w:hAnsiTheme="minorHAnsi" w:cstheme="minorBidi"/>
              <w:noProof/>
              <w:color w:val="auto"/>
              <w:kern w:val="2"/>
              <w:sz w:val="24"/>
              <w:szCs w:val="24"/>
              <w:lang w:bidi="ar-SA"/>
              <w14:ligatures w14:val="standardContextual"/>
            </w:rPr>
          </w:pPr>
          <w:hyperlink w:anchor="_Toc192525162" w:history="1">
            <w:r w:rsidR="00237107" w:rsidRPr="000E4574">
              <w:rPr>
                <w:rStyle w:val="Hyperkobling"/>
                <w:noProof/>
              </w:rPr>
              <w:t>8.6</w:t>
            </w:r>
            <w:r w:rsidR="00237107">
              <w:rPr>
                <w:rFonts w:asciiTheme="minorHAnsi" w:eastAsiaTheme="minorEastAsia" w:hAnsiTheme="minorHAnsi" w:cstheme="minorBidi"/>
                <w:noProof/>
                <w:color w:val="auto"/>
                <w:kern w:val="2"/>
                <w:sz w:val="24"/>
                <w:szCs w:val="24"/>
                <w:lang w:bidi="ar-SA"/>
                <w14:ligatures w14:val="standardContextual"/>
              </w:rPr>
              <w:tab/>
            </w:r>
            <w:r w:rsidR="00237107" w:rsidRPr="000E4574">
              <w:rPr>
                <w:rStyle w:val="Hyperkobling"/>
                <w:noProof/>
              </w:rPr>
              <w:t>Organisering og samarbeid, lokalt, regionalt, nasjonalt</w:t>
            </w:r>
            <w:r w:rsidR="00237107">
              <w:rPr>
                <w:noProof/>
                <w:webHidden/>
              </w:rPr>
              <w:tab/>
            </w:r>
            <w:r w:rsidR="00237107">
              <w:rPr>
                <w:noProof/>
                <w:webHidden/>
              </w:rPr>
              <w:fldChar w:fldCharType="begin"/>
            </w:r>
            <w:r w:rsidR="00237107">
              <w:rPr>
                <w:noProof/>
                <w:webHidden/>
              </w:rPr>
              <w:instrText xml:space="preserve"> PAGEREF _Toc192525162 \h </w:instrText>
            </w:r>
            <w:r w:rsidR="00237107">
              <w:rPr>
                <w:noProof/>
                <w:webHidden/>
              </w:rPr>
            </w:r>
            <w:r w:rsidR="00237107">
              <w:rPr>
                <w:noProof/>
                <w:webHidden/>
              </w:rPr>
              <w:fldChar w:fldCharType="separate"/>
            </w:r>
            <w:r w:rsidR="00237107">
              <w:rPr>
                <w:noProof/>
                <w:webHidden/>
              </w:rPr>
              <w:t>29</w:t>
            </w:r>
            <w:r w:rsidR="00237107">
              <w:rPr>
                <w:noProof/>
                <w:webHidden/>
              </w:rPr>
              <w:fldChar w:fldCharType="end"/>
            </w:r>
          </w:hyperlink>
        </w:p>
        <w:p w14:paraId="6E978EA0" w14:textId="489CAF0C" w:rsidR="00237107" w:rsidRDefault="00B76ADC">
          <w:pPr>
            <w:pStyle w:val="INNH2"/>
            <w:tabs>
              <w:tab w:val="left" w:pos="960"/>
              <w:tab w:val="right" w:leader="dot" w:pos="9060"/>
            </w:tabs>
            <w:rPr>
              <w:rFonts w:asciiTheme="minorHAnsi" w:eastAsiaTheme="minorEastAsia" w:hAnsiTheme="minorHAnsi" w:cstheme="minorBidi"/>
              <w:noProof/>
              <w:color w:val="auto"/>
              <w:kern w:val="2"/>
              <w:sz w:val="24"/>
              <w:szCs w:val="24"/>
              <w:lang w:bidi="ar-SA"/>
              <w14:ligatures w14:val="standardContextual"/>
            </w:rPr>
          </w:pPr>
          <w:hyperlink w:anchor="_Toc192525163" w:history="1">
            <w:r w:rsidR="00237107" w:rsidRPr="000E4574">
              <w:rPr>
                <w:rStyle w:val="Hyperkobling"/>
                <w:noProof/>
              </w:rPr>
              <w:t>8.7</w:t>
            </w:r>
            <w:r w:rsidR="00237107">
              <w:rPr>
                <w:rFonts w:asciiTheme="minorHAnsi" w:eastAsiaTheme="minorEastAsia" w:hAnsiTheme="minorHAnsi" w:cstheme="minorBidi"/>
                <w:noProof/>
                <w:color w:val="auto"/>
                <w:kern w:val="2"/>
                <w:sz w:val="24"/>
                <w:szCs w:val="24"/>
                <w:lang w:bidi="ar-SA"/>
                <w14:ligatures w14:val="standardContextual"/>
              </w:rPr>
              <w:tab/>
            </w:r>
            <w:r w:rsidR="00237107" w:rsidRPr="000E4574">
              <w:rPr>
                <w:rStyle w:val="Hyperkobling"/>
                <w:noProof/>
              </w:rPr>
              <w:t>Roller</w:t>
            </w:r>
            <w:r w:rsidR="00237107">
              <w:rPr>
                <w:noProof/>
                <w:webHidden/>
              </w:rPr>
              <w:tab/>
            </w:r>
            <w:r w:rsidR="00237107">
              <w:rPr>
                <w:noProof/>
                <w:webHidden/>
              </w:rPr>
              <w:fldChar w:fldCharType="begin"/>
            </w:r>
            <w:r w:rsidR="00237107">
              <w:rPr>
                <w:noProof/>
                <w:webHidden/>
              </w:rPr>
              <w:instrText xml:space="preserve"> PAGEREF _Toc192525163 \h </w:instrText>
            </w:r>
            <w:r w:rsidR="00237107">
              <w:rPr>
                <w:noProof/>
                <w:webHidden/>
              </w:rPr>
            </w:r>
            <w:r w:rsidR="00237107">
              <w:rPr>
                <w:noProof/>
                <w:webHidden/>
              </w:rPr>
              <w:fldChar w:fldCharType="separate"/>
            </w:r>
            <w:r w:rsidR="00237107">
              <w:rPr>
                <w:noProof/>
                <w:webHidden/>
              </w:rPr>
              <w:t>30</w:t>
            </w:r>
            <w:r w:rsidR="00237107">
              <w:rPr>
                <w:noProof/>
                <w:webHidden/>
              </w:rPr>
              <w:fldChar w:fldCharType="end"/>
            </w:r>
          </w:hyperlink>
        </w:p>
        <w:p w14:paraId="47478AA2" w14:textId="6D035272" w:rsidR="00237107" w:rsidRDefault="00B76ADC">
          <w:pPr>
            <w:pStyle w:val="INNH2"/>
            <w:tabs>
              <w:tab w:val="left" w:pos="960"/>
              <w:tab w:val="right" w:leader="dot" w:pos="9060"/>
            </w:tabs>
            <w:rPr>
              <w:rFonts w:asciiTheme="minorHAnsi" w:eastAsiaTheme="minorEastAsia" w:hAnsiTheme="minorHAnsi" w:cstheme="minorBidi"/>
              <w:noProof/>
              <w:color w:val="auto"/>
              <w:kern w:val="2"/>
              <w:sz w:val="24"/>
              <w:szCs w:val="24"/>
              <w:lang w:bidi="ar-SA"/>
              <w14:ligatures w14:val="standardContextual"/>
            </w:rPr>
          </w:pPr>
          <w:hyperlink w:anchor="_Toc192525164" w:history="1">
            <w:r w:rsidR="00237107" w:rsidRPr="000E4574">
              <w:rPr>
                <w:rStyle w:val="Hyperkobling"/>
                <w:noProof/>
              </w:rPr>
              <w:t>8.8</w:t>
            </w:r>
            <w:r w:rsidR="00237107">
              <w:rPr>
                <w:rFonts w:asciiTheme="minorHAnsi" w:eastAsiaTheme="minorEastAsia" w:hAnsiTheme="minorHAnsi" w:cstheme="minorBidi"/>
                <w:noProof/>
                <w:color w:val="auto"/>
                <w:kern w:val="2"/>
                <w:sz w:val="24"/>
                <w:szCs w:val="24"/>
                <w:lang w:bidi="ar-SA"/>
                <w14:ligatures w14:val="standardContextual"/>
              </w:rPr>
              <w:tab/>
            </w:r>
            <w:r w:rsidR="00237107" w:rsidRPr="000E4574">
              <w:rPr>
                <w:rStyle w:val="Hyperkobling"/>
                <w:noProof/>
              </w:rPr>
              <w:t>Finansiering av forskning og forskningsstøtte</w:t>
            </w:r>
            <w:r w:rsidR="00237107">
              <w:rPr>
                <w:noProof/>
                <w:webHidden/>
              </w:rPr>
              <w:tab/>
            </w:r>
            <w:r w:rsidR="00237107">
              <w:rPr>
                <w:noProof/>
                <w:webHidden/>
              </w:rPr>
              <w:fldChar w:fldCharType="begin"/>
            </w:r>
            <w:r w:rsidR="00237107">
              <w:rPr>
                <w:noProof/>
                <w:webHidden/>
              </w:rPr>
              <w:instrText xml:space="preserve"> PAGEREF _Toc192525164 \h </w:instrText>
            </w:r>
            <w:r w:rsidR="00237107">
              <w:rPr>
                <w:noProof/>
                <w:webHidden/>
              </w:rPr>
            </w:r>
            <w:r w:rsidR="00237107">
              <w:rPr>
                <w:noProof/>
                <w:webHidden/>
              </w:rPr>
              <w:fldChar w:fldCharType="separate"/>
            </w:r>
            <w:r w:rsidR="00237107">
              <w:rPr>
                <w:noProof/>
                <w:webHidden/>
              </w:rPr>
              <w:t>30</w:t>
            </w:r>
            <w:r w:rsidR="00237107">
              <w:rPr>
                <w:noProof/>
                <w:webHidden/>
              </w:rPr>
              <w:fldChar w:fldCharType="end"/>
            </w:r>
          </w:hyperlink>
        </w:p>
        <w:p w14:paraId="1E9E4218" w14:textId="708E7445" w:rsidR="00237107" w:rsidRDefault="00B76ADC">
          <w:pPr>
            <w:pStyle w:val="INNH2"/>
            <w:tabs>
              <w:tab w:val="left" w:pos="960"/>
              <w:tab w:val="right" w:leader="dot" w:pos="9060"/>
            </w:tabs>
            <w:rPr>
              <w:rFonts w:asciiTheme="minorHAnsi" w:eastAsiaTheme="minorEastAsia" w:hAnsiTheme="minorHAnsi" w:cstheme="minorBidi"/>
              <w:noProof/>
              <w:color w:val="auto"/>
              <w:kern w:val="2"/>
              <w:sz w:val="24"/>
              <w:szCs w:val="24"/>
              <w:lang w:bidi="ar-SA"/>
              <w14:ligatures w14:val="standardContextual"/>
            </w:rPr>
          </w:pPr>
          <w:hyperlink w:anchor="_Toc192525165" w:history="1">
            <w:r w:rsidR="00237107" w:rsidRPr="000E4574">
              <w:rPr>
                <w:rStyle w:val="Hyperkobling"/>
                <w:noProof/>
              </w:rPr>
              <w:t>8.9</w:t>
            </w:r>
            <w:r w:rsidR="00237107">
              <w:rPr>
                <w:rFonts w:asciiTheme="minorHAnsi" w:eastAsiaTheme="minorEastAsia" w:hAnsiTheme="minorHAnsi" w:cstheme="minorBidi"/>
                <w:noProof/>
                <w:color w:val="auto"/>
                <w:kern w:val="2"/>
                <w:sz w:val="24"/>
                <w:szCs w:val="24"/>
                <w:lang w:bidi="ar-SA"/>
                <w14:ligatures w14:val="standardContextual"/>
              </w:rPr>
              <w:tab/>
            </w:r>
            <w:r w:rsidR="00237107" w:rsidRPr="000E4574">
              <w:rPr>
                <w:rStyle w:val="Hyperkobling"/>
                <w:noProof/>
              </w:rPr>
              <w:t>Synliggjøring på nett</w:t>
            </w:r>
            <w:r w:rsidR="00237107">
              <w:rPr>
                <w:noProof/>
                <w:webHidden/>
              </w:rPr>
              <w:tab/>
            </w:r>
            <w:r w:rsidR="00237107">
              <w:rPr>
                <w:noProof/>
                <w:webHidden/>
              </w:rPr>
              <w:fldChar w:fldCharType="begin"/>
            </w:r>
            <w:r w:rsidR="00237107">
              <w:rPr>
                <w:noProof/>
                <w:webHidden/>
              </w:rPr>
              <w:instrText xml:space="preserve"> PAGEREF _Toc192525165 \h </w:instrText>
            </w:r>
            <w:r w:rsidR="00237107">
              <w:rPr>
                <w:noProof/>
                <w:webHidden/>
              </w:rPr>
            </w:r>
            <w:r w:rsidR="00237107">
              <w:rPr>
                <w:noProof/>
                <w:webHidden/>
              </w:rPr>
              <w:fldChar w:fldCharType="separate"/>
            </w:r>
            <w:r w:rsidR="00237107">
              <w:rPr>
                <w:noProof/>
                <w:webHidden/>
              </w:rPr>
              <w:t>30</w:t>
            </w:r>
            <w:r w:rsidR="00237107">
              <w:rPr>
                <w:noProof/>
                <w:webHidden/>
              </w:rPr>
              <w:fldChar w:fldCharType="end"/>
            </w:r>
          </w:hyperlink>
        </w:p>
        <w:p w14:paraId="385A5302" w14:textId="3CD0C2F0" w:rsidR="00237107" w:rsidRDefault="00B76ADC">
          <w:pPr>
            <w:pStyle w:val="INNH2"/>
            <w:tabs>
              <w:tab w:val="left" w:pos="960"/>
              <w:tab w:val="right" w:leader="dot" w:pos="9060"/>
            </w:tabs>
            <w:rPr>
              <w:rFonts w:asciiTheme="minorHAnsi" w:eastAsiaTheme="minorEastAsia" w:hAnsiTheme="minorHAnsi" w:cstheme="minorBidi"/>
              <w:noProof/>
              <w:color w:val="auto"/>
              <w:kern w:val="2"/>
              <w:sz w:val="24"/>
              <w:szCs w:val="24"/>
              <w:lang w:bidi="ar-SA"/>
              <w14:ligatures w14:val="standardContextual"/>
            </w:rPr>
          </w:pPr>
          <w:hyperlink w:anchor="_Toc192525166" w:history="1">
            <w:r w:rsidR="00237107" w:rsidRPr="000E4574">
              <w:rPr>
                <w:rStyle w:val="Hyperkobling"/>
                <w:noProof/>
              </w:rPr>
              <w:t>8.10</w:t>
            </w:r>
            <w:r w:rsidR="00237107">
              <w:rPr>
                <w:rFonts w:asciiTheme="minorHAnsi" w:eastAsiaTheme="minorEastAsia" w:hAnsiTheme="minorHAnsi" w:cstheme="minorBidi"/>
                <w:noProof/>
                <w:color w:val="auto"/>
                <w:kern w:val="2"/>
                <w:sz w:val="24"/>
                <w:szCs w:val="24"/>
                <w:lang w:bidi="ar-SA"/>
                <w14:ligatures w14:val="standardContextual"/>
              </w:rPr>
              <w:tab/>
            </w:r>
            <w:r w:rsidR="00237107" w:rsidRPr="000E4574">
              <w:rPr>
                <w:rStyle w:val="Hyperkobling"/>
                <w:noProof/>
              </w:rPr>
              <w:t>Annet</w:t>
            </w:r>
            <w:r w:rsidR="00237107">
              <w:rPr>
                <w:noProof/>
                <w:webHidden/>
              </w:rPr>
              <w:tab/>
            </w:r>
            <w:r w:rsidR="00237107">
              <w:rPr>
                <w:noProof/>
                <w:webHidden/>
              </w:rPr>
              <w:fldChar w:fldCharType="begin"/>
            </w:r>
            <w:r w:rsidR="00237107">
              <w:rPr>
                <w:noProof/>
                <w:webHidden/>
              </w:rPr>
              <w:instrText xml:space="preserve"> PAGEREF _Toc192525166 \h </w:instrText>
            </w:r>
            <w:r w:rsidR="00237107">
              <w:rPr>
                <w:noProof/>
                <w:webHidden/>
              </w:rPr>
            </w:r>
            <w:r w:rsidR="00237107">
              <w:rPr>
                <w:noProof/>
                <w:webHidden/>
              </w:rPr>
              <w:fldChar w:fldCharType="separate"/>
            </w:r>
            <w:r w:rsidR="00237107">
              <w:rPr>
                <w:noProof/>
                <w:webHidden/>
              </w:rPr>
              <w:t>30</w:t>
            </w:r>
            <w:r w:rsidR="00237107">
              <w:rPr>
                <w:noProof/>
                <w:webHidden/>
              </w:rPr>
              <w:fldChar w:fldCharType="end"/>
            </w:r>
          </w:hyperlink>
        </w:p>
        <w:p w14:paraId="7C2F47B8" w14:textId="708AEF7E" w:rsidR="00237107" w:rsidRDefault="00B76ADC">
          <w:pPr>
            <w:pStyle w:val="INNH1"/>
            <w:tabs>
              <w:tab w:val="left" w:pos="440"/>
              <w:tab w:val="right" w:leader="dot" w:pos="9060"/>
            </w:tabs>
            <w:rPr>
              <w:rFonts w:asciiTheme="minorHAnsi" w:eastAsiaTheme="minorEastAsia" w:hAnsiTheme="minorHAnsi" w:cstheme="minorBidi"/>
              <w:noProof/>
              <w:color w:val="auto"/>
              <w:kern w:val="2"/>
              <w:sz w:val="24"/>
              <w:szCs w:val="24"/>
              <w:lang w:bidi="ar-SA"/>
              <w14:ligatures w14:val="standardContextual"/>
            </w:rPr>
          </w:pPr>
          <w:hyperlink w:anchor="_Toc192525167" w:history="1">
            <w:r w:rsidR="00237107" w:rsidRPr="000E4574">
              <w:rPr>
                <w:rStyle w:val="Hyperkobling"/>
                <w:noProof/>
                <w14:scene3d>
                  <w14:camera w14:prst="orthographicFront"/>
                  <w14:lightRig w14:rig="threePt" w14:dir="t">
                    <w14:rot w14:lat="0" w14:lon="0" w14:rev="0"/>
                  </w14:lightRig>
                </w14:scene3d>
              </w:rPr>
              <w:t>9</w:t>
            </w:r>
            <w:r w:rsidR="00237107">
              <w:rPr>
                <w:rFonts w:asciiTheme="minorHAnsi" w:eastAsiaTheme="minorEastAsia" w:hAnsiTheme="minorHAnsi" w:cstheme="minorBidi"/>
                <w:noProof/>
                <w:color w:val="auto"/>
                <w:kern w:val="2"/>
                <w:sz w:val="24"/>
                <w:szCs w:val="24"/>
                <w:lang w:bidi="ar-SA"/>
                <w14:ligatures w14:val="standardContextual"/>
              </w:rPr>
              <w:tab/>
            </w:r>
            <w:r w:rsidR="00237107" w:rsidRPr="000E4574">
              <w:rPr>
                <w:rStyle w:val="Hyperkobling"/>
                <w:noProof/>
              </w:rPr>
              <w:t>Akkreditering</w:t>
            </w:r>
            <w:r w:rsidR="00237107">
              <w:rPr>
                <w:noProof/>
                <w:webHidden/>
              </w:rPr>
              <w:tab/>
            </w:r>
            <w:r w:rsidR="00237107">
              <w:rPr>
                <w:noProof/>
                <w:webHidden/>
              </w:rPr>
              <w:fldChar w:fldCharType="begin"/>
            </w:r>
            <w:r w:rsidR="00237107">
              <w:rPr>
                <w:noProof/>
                <w:webHidden/>
              </w:rPr>
              <w:instrText xml:space="preserve"> PAGEREF _Toc192525167 \h </w:instrText>
            </w:r>
            <w:r w:rsidR="00237107">
              <w:rPr>
                <w:noProof/>
                <w:webHidden/>
              </w:rPr>
            </w:r>
            <w:r w:rsidR="00237107">
              <w:rPr>
                <w:noProof/>
                <w:webHidden/>
              </w:rPr>
              <w:fldChar w:fldCharType="separate"/>
            </w:r>
            <w:r w:rsidR="00237107">
              <w:rPr>
                <w:noProof/>
                <w:webHidden/>
              </w:rPr>
              <w:t>31</w:t>
            </w:r>
            <w:r w:rsidR="00237107">
              <w:rPr>
                <w:noProof/>
                <w:webHidden/>
              </w:rPr>
              <w:fldChar w:fldCharType="end"/>
            </w:r>
          </w:hyperlink>
        </w:p>
        <w:p w14:paraId="3CDF4F70" w14:textId="5805A5BC" w:rsidR="00237107" w:rsidRDefault="00B76ADC">
          <w:pPr>
            <w:pStyle w:val="INNH1"/>
            <w:tabs>
              <w:tab w:val="left" w:pos="720"/>
              <w:tab w:val="right" w:leader="dot" w:pos="9060"/>
            </w:tabs>
            <w:rPr>
              <w:rFonts w:asciiTheme="minorHAnsi" w:eastAsiaTheme="minorEastAsia" w:hAnsiTheme="minorHAnsi" w:cstheme="minorBidi"/>
              <w:noProof/>
              <w:color w:val="auto"/>
              <w:kern w:val="2"/>
              <w:sz w:val="24"/>
              <w:szCs w:val="24"/>
              <w:lang w:bidi="ar-SA"/>
              <w14:ligatures w14:val="standardContextual"/>
            </w:rPr>
          </w:pPr>
          <w:hyperlink w:anchor="_Toc192525168" w:history="1">
            <w:r w:rsidR="00237107" w:rsidRPr="000E4574">
              <w:rPr>
                <w:rStyle w:val="Hyperkobling"/>
                <w:noProof/>
                <w14:scene3d>
                  <w14:camera w14:prst="orthographicFront"/>
                  <w14:lightRig w14:rig="threePt" w14:dir="t">
                    <w14:rot w14:lat="0" w14:lon="0" w14:rev="0"/>
                  </w14:lightRig>
                </w14:scene3d>
              </w:rPr>
              <w:t>10</w:t>
            </w:r>
            <w:r w:rsidR="00237107">
              <w:rPr>
                <w:rFonts w:asciiTheme="minorHAnsi" w:eastAsiaTheme="minorEastAsia" w:hAnsiTheme="minorHAnsi" w:cstheme="minorBidi"/>
                <w:noProof/>
                <w:color w:val="auto"/>
                <w:kern w:val="2"/>
                <w:sz w:val="24"/>
                <w:szCs w:val="24"/>
                <w:lang w:bidi="ar-SA"/>
                <w14:ligatures w14:val="standardContextual"/>
              </w:rPr>
              <w:tab/>
            </w:r>
            <w:r w:rsidR="00237107" w:rsidRPr="000E4574">
              <w:rPr>
                <w:rStyle w:val="Hyperkobling"/>
                <w:noProof/>
              </w:rPr>
              <w:t>Vedlegg</w:t>
            </w:r>
            <w:r w:rsidR="00237107">
              <w:rPr>
                <w:noProof/>
                <w:webHidden/>
              </w:rPr>
              <w:tab/>
            </w:r>
            <w:r w:rsidR="00237107">
              <w:rPr>
                <w:noProof/>
                <w:webHidden/>
              </w:rPr>
              <w:fldChar w:fldCharType="begin"/>
            </w:r>
            <w:r w:rsidR="00237107">
              <w:rPr>
                <w:noProof/>
                <w:webHidden/>
              </w:rPr>
              <w:instrText xml:space="preserve"> PAGEREF _Toc192525168 \h </w:instrText>
            </w:r>
            <w:r w:rsidR="00237107">
              <w:rPr>
                <w:noProof/>
                <w:webHidden/>
              </w:rPr>
            </w:r>
            <w:r w:rsidR="00237107">
              <w:rPr>
                <w:noProof/>
                <w:webHidden/>
              </w:rPr>
              <w:fldChar w:fldCharType="separate"/>
            </w:r>
            <w:r w:rsidR="00237107">
              <w:rPr>
                <w:noProof/>
                <w:webHidden/>
              </w:rPr>
              <w:t>31</w:t>
            </w:r>
            <w:r w:rsidR="00237107">
              <w:rPr>
                <w:noProof/>
                <w:webHidden/>
              </w:rPr>
              <w:fldChar w:fldCharType="end"/>
            </w:r>
          </w:hyperlink>
        </w:p>
        <w:p w14:paraId="5DF73D40" w14:textId="571DDE24" w:rsidR="00237107" w:rsidRDefault="00B76ADC">
          <w:pPr>
            <w:pStyle w:val="INNH2"/>
            <w:tabs>
              <w:tab w:val="left" w:pos="960"/>
              <w:tab w:val="right" w:leader="dot" w:pos="9060"/>
            </w:tabs>
            <w:rPr>
              <w:rFonts w:asciiTheme="minorHAnsi" w:eastAsiaTheme="minorEastAsia" w:hAnsiTheme="minorHAnsi" w:cstheme="minorBidi"/>
              <w:noProof/>
              <w:color w:val="auto"/>
              <w:kern w:val="2"/>
              <w:sz w:val="24"/>
              <w:szCs w:val="24"/>
              <w:lang w:bidi="ar-SA"/>
              <w14:ligatures w14:val="standardContextual"/>
            </w:rPr>
          </w:pPr>
          <w:hyperlink w:anchor="_Toc192525169" w:history="1">
            <w:r w:rsidR="00237107" w:rsidRPr="000E4574">
              <w:rPr>
                <w:rStyle w:val="Hyperkobling"/>
                <w:noProof/>
              </w:rPr>
              <w:t>10.1</w:t>
            </w:r>
            <w:r w:rsidR="00237107">
              <w:rPr>
                <w:rFonts w:asciiTheme="minorHAnsi" w:eastAsiaTheme="minorEastAsia" w:hAnsiTheme="minorHAnsi" w:cstheme="minorBidi"/>
                <w:noProof/>
                <w:color w:val="auto"/>
                <w:kern w:val="2"/>
                <w:sz w:val="24"/>
                <w:szCs w:val="24"/>
                <w:lang w:bidi="ar-SA"/>
                <w14:ligatures w14:val="standardContextual"/>
              </w:rPr>
              <w:tab/>
            </w:r>
            <w:r w:rsidR="00237107" w:rsidRPr="000E4574">
              <w:rPr>
                <w:rStyle w:val="Hyperkobling"/>
                <w:noProof/>
              </w:rPr>
              <w:t>Bidragsytere til tekst</w:t>
            </w:r>
            <w:r w:rsidR="00237107">
              <w:rPr>
                <w:noProof/>
                <w:webHidden/>
              </w:rPr>
              <w:tab/>
            </w:r>
            <w:r w:rsidR="00237107">
              <w:rPr>
                <w:noProof/>
                <w:webHidden/>
              </w:rPr>
              <w:fldChar w:fldCharType="begin"/>
            </w:r>
            <w:r w:rsidR="00237107">
              <w:rPr>
                <w:noProof/>
                <w:webHidden/>
              </w:rPr>
              <w:instrText xml:space="preserve"> PAGEREF _Toc192525169 \h </w:instrText>
            </w:r>
            <w:r w:rsidR="00237107">
              <w:rPr>
                <w:noProof/>
                <w:webHidden/>
              </w:rPr>
            </w:r>
            <w:r w:rsidR="00237107">
              <w:rPr>
                <w:noProof/>
                <w:webHidden/>
              </w:rPr>
              <w:fldChar w:fldCharType="separate"/>
            </w:r>
            <w:r w:rsidR="00237107">
              <w:rPr>
                <w:noProof/>
                <w:webHidden/>
              </w:rPr>
              <w:t>31</w:t>
            </w:r>
            <w:r w:rsidR="00237107">
              <w:rPr>
                <w:noProof/>
                <w:webHidden/>
              </w:rPr>
              <w:fldChar w:fldCharType="end"/>
            </w:r>
          </w:hyperlink>
        </w:p>
        <w:p w14:paraId="731DEF1A" w14:textId="70F5979D" w:rsidR="009F71F5" w:rsidRDefault="002F79BE" w:rsidP="00821450">
          <w:r>
            <w:rPr>
              <w:szCs w:val="20"/>
            </w:rPr>
            <w:fldChar w:fldCharType="end"/>
          </w:r>
        </w:p>
      </w:sdtContent>
    </w:sdt>
    <w:p w14:paraId="5E6ABDC7" w14:textId="77777777" w:rsidR="00EF1ED1" w:rsidRDefault="00EF1ED1" w:rsidP="00821450"/>
    <w:p w14:paraId="45A4DAA8" w14:textId="77777777" w:rsidR="009F71F5" w:rsidRPr="00916563" w:rsidRDefault="00A64EF5" w:rsidP="00821450">
      <w:pPr>
        <w:rPr>
          <w:b/>
        </w:rPr>
      </w:pPr>
      <w:r w:rsidRPr="00916563">
        <w:rPr>
          <w:b/>
        </w:rPr>
        <w:t>Versjonshistorikk</w:t>
      </w:r>
    </w:p>
    <w:tbl>
      <w:tblPr>
        <w:tblStyle w:val="Tabellrutenett"/>
        <w:tblW w:w="0" w:type="auto"/>
        <w:tblLook w:val="04A0" w:firstRow="1" w:lastRow="0" w:firstColumn="1" w:lastColumn="0" w:noHBand="0" w:noVBand="1"/>
      </w:tblPr>
      <w:tblGrid>
        <w:gridCol w:w="1191"/>
        <w:gridCol w:w="5840"/>
        <w:gridCol w:w="1673"/>
      </w:tblGrid>
      <w:tr w:rsidR="0052705E" w14:paraId="63C47C7D" w14:textId="77777777" w:rsidTr="00B84047">
        <w:tc>
          <w:tcPr>
            <w:tcW w:w="1191" w:type="dxa"/>
            <w:shd w:val="clear" w:color="auto" w:fill="D9D9D9" w:themeFill="background1" w:themeFillShade="D9"/>
          </w:tcPr>
          <w:p w14:paraId="606531AD" w14:textId="77777777" w:rsidR="0052705E" w:rsidRPr="001F1A91" w:rsidRDefault="0052705E" w:rsidP="00821450">
            <w:r w:rsidRPr="001F1A91">
              <w:t>Versjon</w:t>
            </w:r>
          </w:p>
        </w:tc>
        <w:tc>
          <w:tcPr>
            <w:tcW w:w="5840" w:type="dxa"/>
            <w:shd w:val="clear" w:color="auto" w:fill="D9D9D9" w:themeFill="background1" w:themeFillShade="D9"/>
          </w:tcPr>
          <w:p w14:paraId="252FA11A" w14:textId="77777777" w:rsidR="0052705E" w:rsidRPr="001F1A91" w:rsidRDefault="0052705E" w:rsidP="00821450">
            <w:r w:rsidRPr="001F1A91">
              <w:t>Endring</w:t>
            </w:r>
          </w:p>
        </w:tc>
        <w:tc>
          <w:tcPr>
            <w:tcW w:w="1673" w:type="dxa"/>
            <w:shd w:val="clear" w:color="auto" w:fill="D9D9D9" w:themeFill="background1" w:themeFillShade="D9"/>
          </w:tcPr>
          <w:p w14:paraId="2F442176" w14:textId="77777777" w:rsidR="0052705E" w:rsidRPr="001F1A91" w:rsidRDefault="0052705E" w:rsidP="00821450">
            <w:r w:rsidRPr="001F1A91">
              <w:t>Dato</w:t>
            </w:r>
          </w:p>
        </w:tc>
      </w:tr>
      <w:tr w:rsidR="0052705E" w14:paraId="7F69D014" w14:textId="77777777" w:rsidTr="00B84047">
        <w:tc>
          <w:tcPr>
            <w:tcW w:w="1191" w:type="dxa"/>
          </w:tcPr>
          <w:p w14:paraId="03E8B256" w14:textId="12702809" w:rsidR="0052705E" w:rsidRPr="001F1A91" w:rsidRDefault="007143F4" w:rsidP="00821450">
            <w:r>
              <w:t>0.x</w:t>
            </w:r>
          </w:p>
        </w:tc>
        <w:tc>
          <w:tcPr>
            <w:tcW w:w="5840" w:type="dxa"/>
          </w:tcPr>
          <w:p w14:paraId="110E4870" w14:textId="4D688CD2" w:rsidR="0052705E" w:rsidRPr="001F1A91" w:rsidRDefault="0052705E" w:rsidP="00821450">
            <w:r w:rsidRPr="001F1A91">
              <w:t>Første versjon, laget til møte i AG Kartlegging 27. mai 2021</w:t>
            </w:r>
            <w:r w:rsidR="000A5DD5">
              <w:t>. Og div. senere revisjoner, se i versjonshistorikken til versjon 1.0</w:t>
            </w:r>
          </w:p>
        </w:tc>
        <w:tc>
          <w:tcPr>
            <w:tcW w:w="1673" w:type="dxa"/>
          </w:tcPr>
          <w:p w14:paraId="6BFDB731" w14:textId="77777777" w:rsidR="0052705E" w:rsidRPr="001F1A91" w:rsidRDefault="0052705E" w:rsidP="00821450">
            <w:r w:rsidRPr="001F1A91">
              <w:t>26. mai 2021</w:t>
            </w:r>
          </w:p>
        </w:tc>
      </w:tr>
      <w:tr w:rsidR="000A5DD5" w14:paraId="1E049404" w14:textId="77777777" w:rsidTr="00B84047">
        <w:tc>
          <w:tcPr>
            <w:tcW w:w="1191" w:type="dxa"/>
          </w:tcPr>
          <w:p w14:paraId="19608415" w14:textId="050ED557" w:rsidR="000A5DD5" w:rsidRPr="00A64EF5" w:rsidRDefault="000A5DD5" w:rsidP="000A5DD5">
            <w:r>
              <w:t>1.0</w:t>
            </w:r>
          </w:p>
        </w:tc>
        <w:tc>
          <w:tcPr>
            <w:tcW w:w="5840" w:type="dxa"/>
          </w:tcPr>
          <w:p w14:paraId="26B7D400" w14:textId="251B2CB2" w:rsidR="000A5DD5" w:rsidRPr="00A64EF5" w:rsidRDefault="000A5DD5" w:rsidP="000A5DD5">
            <w:r>
              <w:t>Versjon sendt til gjennomsyn i og utenfor NorCRIN i juni 2024</w:t>
            </w:r>
          </w:p>
        </w:tc>
        <w:tc>
          <w:tcPr>
            <w:tcW w:w="1673" w:type="dxa"/>
          </w:tcPr>
          <w:p w14:paraId="754CCA94" w14:textId="79D3FE2E" w:rsidR="000A5DD5" w:rsidRPr="00A64EF5" w:rsidRDefault="000A5DD5" w:rsidP="000A5DD5">
            <w:r>
              <w:t>9. jun</w:t>
            </w:r>
            <w:r w:rsidR="007143F4">
              <w:t>.</w:t>
            </w:r>
            <w:r>
              <w:t xml:space="preserve"> 2024</w:t>
            </w:r>
          </w:p>
        </w:tc>
      </w:tr>
      <w:tr w:rsidR="000A5DD5" w14:paraId="1C345E4C" w14:textId="77777777" w:rsidTr="00B84047">
        <w:tc>
          <w:tcPr>
            <w:tcW w:w="1191" w:type="dxa"/>
          </w:tcPr>
          <w:p w14:paraId="30AF27DC" w14:textId="4013FBEA" w:rsidR="000A5DD5" w:rsidRPr="002D009F" w:rsidRDefault="000A5DD5" w:rsidP="000A5DD5">
            <w:r>
              <w:t>2.0</w:t>
            </w:r>
          </w:p>
        </w:tc>
        <w:tc>
          <w:tcPr>
            <w:tcW w:w="5840" w:type="dxa"/>
          </w:tcPr>
          <w:p w14:paraId="4A98E48F" w14:textId="428DE715" w:rsidR="000A5DD5" w:rsidRPr="000A5DD5" w:rsidRDefault="000A5DD5" w:rsidP="004763EC">
            <w:r w:rsidRPr="000A5DD5">
              <w:t xml:space="preserve">Versjon </w:t>
            </w:r>
            <w:r w:rsidR="005D321E">
              <w:t xml:space="preserve">der innspillene fra juni er tatt inn, og som ble lagt ut </w:t>
            </w:r>
            <w:r w:rsidRPr="000A5DD5">
              <w:t xml:space="preserve">til gjennomsyn </w:t>
            </w:r>
            <w:r w:rsidR="007143F4">
              <w:t>a</w:t>
            </w:r>
            <w:r>
              <w:t>ug</w:t>
            </w:r>
            <w:r w:rsidR="007143F4">
              <w:t>ust</w:t>
            </w:r>
            <w:r>
              <w:t>/sep</w:t>
            </w:r>
            <w:r w:rsidR="007143F4">
              <w:t>tember</w:t>
            </w:r>
            <w:r w:rsidRPr="000A5DD5">
              <w:t xml:space="preserve"> 2024</w:t>
            </w:r>
            <w:r w:rsidR="004763EC">
              <w:t>.</w:t>
            </w:r>
          </w:p>
        </w:tc>
        <w:tc>
          <w:tcPr>
            <w:tcW w:w="1673" w:type="dxa"/>
          </w:tcPr>
          <w:p w14:paraId="66852048" w14:textId="07DCAB32" w:rsidR="000A5DD5" w:rsidRPr="002D009F" w:rsidRDefault="000A5DD5" w:rsidP="000A5DD5">
            <w:r>
              <w:t>1</w:t>
            </w:r>
            <w:r w:rsidR="007534D1">
              <w:t>5</w:t>
            </w:r>
            <w:r>
              <w:t>. aug</w:t>
            </w:r>
            <w:r w:rsidR="007143F4">
              <w:t>.</w:t>
            </w:r>
            <w:r>
              <w:t xml:space="preserve"> </w:t>
            </w:r>
            <w:r w:rsidR="007143F4">
              <w:t>20</w:t>
            </w:r>
            <w:r>
              <w:t>24</w:t>
            </w:r>
          </w:p>
        </w:tc>
      </w:tr>
      <w:tr w:rsidR="000A5DD5" w14:paraId="2C42B57A" w14:textId="77777777" w:rsidTr="00B84047">
        <w:tc>
          <w:tcPr>
            <w:tcW w:w="1191" w:type="dxa"/>
          </w:tcPr>
          <w:p w14:paraId="201251EB" w14:textId="50A8D4A0" w:rsidR="000A5DD5" w:rsidRPr="002D009F" w:rsidRDefault="005A7DE1" w:rsidP="000A5DD5">
            <w:r>
              <w:t>2.1</w:t>
            </w:r>
          </w:p>
        </w:tc>
        <w:tc>
          <w:tcPr>
            <w:tcW w:w="5840" w:type="dxa"/>
          </w:tcPr>
          <w:p w14:paraId="79DD62B5" w14:textId="0633B38D" w:rsidR="000A5DD5" w:rsidRPr="000A5DD5" w:rsidRDefault="005A7DE1" w:rsidP="005A7DE1">
            <w:r>
              <w:t>Versjon 2.0, men der avsnittet Sammendrag er lagt til.</w:t>
            </w:r>
          </w:p>
        </w:tc>
        <w:tc>
          <w:tcPr>
            <w:tcW w:w="1673" w:type="dxa"/>
          </w:tcPr>
          <w:p w14:paraId="3D20BEC1" w14:textId="0AA14004" w:rsidR="000A5DD5" w:rsidRPr="002D009F" w:rsidRDefault="005A7DE1" w:rsidP="000A5DD5">
            <w:r>
              <w:t>27. aug. 2024</w:t>
            </w:r>
          </w:p>
        </w:tc>
      </w:tr>
      <w:tr w:rsidR="000A5DD5" w14:paraId="36EF9A34" w14:textId="77777777" w:rsidTr="00B84047">
        <w:tc>
          <w:tcPr>
            <w:tcW w:w="1191" w:type="dxa"/>
          </w:tcPr>
          <w:p w14:paraId="1638C81D" w14:textId="1ABB3A34" w:rsidR="000A5DD5" w:rsidRPr="005729DE" w:rsidRDefault="00BE3E28" w:rsidP="00E470B9">
            <w:r w:rsidRPr="005729DE">
              <w:t>2.</w:t>
            </w:r>
            <w:r w:rsidR="00E470B9" w:rsidRPr="005729DE">
              <w:t>5</w:t>
            </w:r>
          </w:p>
        </w:tc>
        <w:tc>
          <w:tcPr>
            <w:tcW w:w="5840" w:type="dxa"/>
          </w:tcPr>
          <w:p w14:paraId="1B61BC41" w14:textId="3C7E5C7A" w:rsidR="000A5DD5" w:rsidRPr="005729DE" w:rsidRDefault="00BE3E28" w:rsidP="000A5DD5">
            <w:r w:rsidRPr="005729DE">
              <w:t xml:space="preserve">Versjon der innspillene </w:t>
            </w:r>
            <w:r w:rsidR="00E470B9" w:rsidRPr="005729DE">
              <w:t xml:space="preserve">fra september 2024 </w:t>
            </w:r>
            <w:r w:rsidRPr="005729DE">
              <w:t>er tatt inn</w:t>
            </w:r>
          </w:p>
        </w:tc>
        <w:tc>
          <w:tcPr>
            <w:tcW w:w="1673" w:type="dxa"/>
          </w:tcPr>
          <w:p w14:paraId="0F7FDA8A" w14:textId="7CC0B59C" w:rsidR="000A5DD5" w:rsidRPr="005729DE" w:rsidRDefault="0046341A" w:rsidP="0046341A">
            <w:r w:rsidRPr="005729DE">
              <w:t>22</w:t>
            </w:r>
            <w:r w:rsidR="0022072A">
              <w:t>.</w:t>
            </w:r>
            <w:r w:rsidRPr="005729DE">
              <w:t xml:space="preserve"> </w:t>
            </w:r>
            <w:r w:rsidR="00BE3E28" w:rsidRPr="005729DE">
              <w:t>okt</w:t>
            </w:r>
            <w:r w:rsidR="0022072A">
              <w:t>.</w:t>
            </w:r>
            <w:r w:rsidR="00892ABB">
              <w:t xml:space="preserve"> </w:t>
            </w:r>
            <w:r w:rsidR="0022072A">
              <w:t>20</w:t>
            </w:r>
            <w:r w:rsidR="00BE3E28" w:rsidRPr="005729DE">
              <w:t>24</w:t>
            </w:r>
          </w:p>
        </w:tc>
      </w:tr>
      <w:tr w:rsidR="000A5DD5" w14:paraId="3431A480" w14:textId="77777777" w:rsidTr="00B84047">
        <w:tc>
          <w:tcPr>
            <w:tcW w:w="1191" w:type="dxa"/>
            <w:shd w:val="clear" w:color="auto" w:fill="auto"/>
          </w:tcPr>
          <w:p w14:paraId="37220E38" w14:textId="6DBBECF9" w:rsidR="000A5DD5" w:rsidRPr="00BE0557" w:rsidRDefault="00CA2AF8" w:rsidP="000A5DD5">
            <w:r w:rsidRPr="00BE0557">
              <w:t>2.</w:t>
            </w:r>
            <w:r w:rsidR="00BE0557" w:rsidRPr="00BE0557">
              <w:t>5 Delrapport</w:t>
            </w:r>
          </w:p>
        </w:tc>
        <w:tc>
          <w:tcPr>
            <w:tcW w:w="5840" w:type="dxa"/>
            <w:shd w:val="clear" w:color="auto" w:fill="auto"/>
          </w:tcPr>
          <w:p w14:paraId="30883A55" w14:textId="08211FDB" w:rsidR="000A5DD5" w:rsidRPr="00BE0557" w:rsidRDefault="003C336F" w:rsidP="000A5DD5">
            <w:r w:rsidRPr="00BE0557">
              <w:t>Dokumentet blir omgjort til en d</w:t>
            </w:r>
            <w:r w:rsidR="00CA2AF8" w:rsidRPr="00BE0557">
              <w:t>elrapport. Anbefalingene er tatt ut, og videreføres i det som blir ny hovedrapport</w:t>
            </w:r>
            <w:r w:rsidRPr="00BE0557">
              <w:t>.</w:t>
            </w:r>
            <w:r w:rsidR="00BE0557" w:rsidRPr="00BE0557">
              <w:t xml:space="preserve"> Mindre tekstlige justeringer og retting av feil</w:t>
            </w:r>
          </w:p>
        </w:tc>
        <w:tc>
          <w:tcPr>
            <w:tcW w:w="1673" w:type="dxa"/>
          </w:tcPr>
          <w:p w14:paraId="7532AD5C" w14:textId="60A0476F" w:rsidR="000A5DD5" w:rsidRPr="00604D76" w:rsidRDefault="00BE0557" w:rsidP="000A5DD5">
            <w:r>
              <w:t>31</w:t>
            </w:r>
            <w:r w:rsidR="00CA2AF8">
              <w:t xml:space="preserve">. </w:t>
            </w:r>
            <w:proofErr w:type="spellStart"/>
            <w:r w:rsidR="00CA2AF8">
              <w:t>mar</w:t>
            </w:r>
            <w:proofErr w:type="spellEnd"/>
            <w:r w:rsidR="003C336F">
              <w:t>.</w:t>
            </w:r>
            <w:r w:rsidR="00CA2AF8">
              <w:t xml:space="preserve"> 2025</w:t>
            </w:r>
          </w:p>
        </w:tc>
      </w:tr>
      <w:tr w:rsidR="000A5DD5" w14:paraId="22FD8D26" w14:textId="77777777" w:rsidTr="00B84047">
        <w:tc>
          <w:tcPr>
            <w:tcW w:w="1191" w:type="dxa"/>
          </w:tcPr>
          <w:p w14:paraId="48B07325" w14:textId="360E78E0" w:rsidR="000A5DD5" w:rsidRDefault="000A5DD5" w:rsidP="000A5DD5"/>
        </w:tc>
        <w:tc>
          <w:tcPr>
            <w:tcW w:w="5840" w:type="dxa"/>
          </w:tcPr>
          <w:p w14:paraId="343E38CB" w14:textId="182A9E7A" w:rsidR="000A5DD5" w:rsidRDefault="000A5DD5" w:rsidP="000A5DD5"/>
        </w:tc>
        <w:tc>
          <w:tcPr>
            <w:tcW w:w="1673" w:type="dxa"/>
          </w:tcPr>
          <w:p w14:paraId="5215A23B" w14:textId="77777777" w:rsidR="000A5DD5" w:rsidRDefault="000A5DD5" w:rsidP="000A5DD5"/>
        </w:tc>
      </w:tr>
      <w:tr w:rsidR="000A5DD5" w14:paraId="554C5AE1" w14:textId="77777777" w:rsidTr="00B84047">
        <w:tc>
          <w:tcPr>
            <w:tcW w:w="1191" w:type="dxa"/>
          </w:tcPr>
          <w:p w14:paraId="58370F2A" w14:textId="43D10309" w:rsidR="000A5DD5" w:rsidRDefault="000A5DD5" w:rsidP="000A5DD5"/>
        </w:tc>
        <w:tc>
          <w:tcPr>
            <w:tcW w:w="5840" w:type="dxa"/>
          </w:tcPr>
          <w:p w14:paraId="534D99E5" w14:textId="053E5860" w:rsidR="000A5DD5" w:rsidRDefault="000A5DD5" w:rsidP="000A5DD5"/>
        </w:tc>
        <w:tc>
          <w:tcPr>
            <w:tcW w:w="1673" w:type="dxa"/>
          </w:tcPr>
          <w:p w14:paraId="6315C5A6" w14:textId="643FF8F2" w:rsidR="000A5DD5" w:rsidRDefault="000A5DD5" w:rsidP="000A5DD5"/>
        </w:tc>
      </w:tr>
      <w:tr w:rsidR="000A5DD5" w14:paraId="3C6AB151" w14:textId="77777777" w:rsidTr="00B84047">
        <w:tc>
          <w:tcPr>
            <w:tcW w:w="1191" w:type="dxa"/>
          </w:tcPr>
          <w:p w14:paraId="24613CF7" w14:textId="16A384BE" w:rsidR="000A5DD5" w:rsidRDefault="000A5DD5" w:rsidP="000A5DD5"/>
        </w:tc>
        <w:tc>
          <w:tcPr>
            <w:tcW w:w="5840" w:type="dxa"/>
          </w:tcPr>
          <w:p w14:paraId="416C8561" w14:textId="582ECE0C" w:rsidR="000A5DD5" w:rsidRDefault="000A5DD5" w:rsidP="000A5DD5"/>
        </w:tc>
        <w:tc>
          <w:tcPr>
            <w:tcW w:w="1673" w:type="dxa"/>
          </w:tcPr>
          <w:p w14:paraId="7B45B62C" w14:textId="446E57E5" w:rsidR="000A5DD5" w:rsidRDefault="000A5DD5" w:rsidP="000A5DD5"/>
        </w:tc>
      </w:tr>
      <w:tr w:rsidR="000A5DD5" w14:paraId="1778561C" w14:textId="77777777" w:rsidTr="00B84047">
        <w:tc>
          <w:tcPr>
            <w:tcW w:w="1191" w:type="dxa"/>
          </w:tcPr>
          <w:p w14:paraId="708A7530" w14:textId="3A6B37B6" w:rsidR="000A5DD5" w:rsidRDefault="000A5DD5" w:rsidP="000A5DD5"/>
        </w:tc>
        <w:tc>
          <w:tcPr>
            <w:tcW w:w="5840" w:type="dxa"/>
          </w:tcPr>
          <w:p w14:paraId="0ABEB916" w14:textId="134ADF75" w:rsidR="000A5DD5" w:rsidRDefault="000A5DD5" w:rsidP="000A5DD5"/>
        </w:tc>
        <w:tc>
          <w:tcPr>
            <w:tcW w:w="1673" w:type="dxa"/>
          </w:tcPr>
          <w:p w14:paraId="51CF4434" w14:textId="1A283375" w:rsidR="000A5DD5" w:rsidRDefault="000A5DD5" w:rsidP="000A5DD5"/>
        </w:tc>
      </w:tr>
    </w:tbl>
    <w:p w14:paraId="20FB8DF7" w14:textId="77777777" w:rsidR="00A64EF5" w:rsidRDefault="00A64EF5" w:rsidP="00821450"/>
    <w:p w14:paraId="6D8204BC" w14:textId="77777777" w:rsidR="00C610AA" w:rsidRDefault="00C610AA" w:rsidP="00821450">
      <w:pPr>
        <w:rPr>
          <w:rFonts w:ascii="Calibri" w:hAnsi="Calibri" w:cs="Arial"/>
          <w:kern w:val="32"/>
          <w:sz w:val="24"/>
          <w:szCs w:val="32"/>
        </w:rPr>
      </w:pPr>
      <w:r>
        <w:br w:type="page"/>
      </w:r>
    </w:p>
    <w:p w14:paraId="2FFC8F7E" w14:textId="77777777" w:rsidR="00D268E5" w:rsidRPr="00C94285" w:rsidRDefault="0052705E" w:rsidP="00821450">
      <w:pPr>
        <w:pStyle w:val="Overskrift1"/>
      </w:pPr>
      <w:bookmarkStart w:id="0" w:name="_Toc192525140"/>
      <w:r>
        <w:lastRenderedPageBreak/>
        <w:t>Introduksjon</w:t>
      </w:r>
      <w:bookmarkEnd w:id="0"/>
    </w:p>
    <w:p w14:paraId="4247E66B" w14:textId="1A44AB16" w:rsidR="00535F63" w:rsidRDefault="002C000E" w:rsidP="00821450">
      <w:bookmarkStart w:id="1" w:name="_Hlk192524232"/>
      <w:r>
        <w:t xml:space="preserve">Denne </w:t>
      </w:r>
      <w:r w:rsidR="00535F63">
        <w:t>del</w:t>
      </w:r>
      <w:r>
        <w:t xml:space="preserve">rapporten utgjør en viktig del av </w:t>
      </w:r>
      <w:r w:rsidR="00916563">
        <w:t>leveransene fra</w:t>
      </w:r>
      <w:r w:rsidR="00A462FB">
        <w:t xml:space="preserve"> </w:t>
      </w:r>
      <w:r w:rsidR="0052705E" w:rsidRPr="009D09CE">
        <w:t>Arbeidspak</w:t>
      </w:r>
      <w:r w:rsidR="0052705E">
        <w:t xml:space="preserve">ke 11 (AP11) </w:t>
      </w:r>
      <w:r w:rsidR="0052705E" w:rsidRPr="009D09CE">
        <w:t>i NorCRIN2</w:t>
      </w:r>
      <w:r w:rsidR="0052705E">
        <w:t>-</w:t>
      </w:r>
      <w:r w:rsidR="0052705E" w:rsidRPr="009D09CE">
        <w:t>prosjekt</w:t>
      </w:r>
      <w:r w:rsidR="00A462FB">
        <w:t>et. Arbeidet er</w:t>
      </w:r>
      <w:r w:rsidR="00AE0C03">
        <w:t>/blir</w:t>
      </w:r>
      <w:r w:rsidR="00A462FB">
        <w:t xml:space="preserve"> utført i </w:t>
      </w:r>
      <w:r w:rsidR="0052705E">
        <w:t>perioden 2020-2025</w:t>
      </w:r>
      <w:r w:rsidR="0052705E" w:rsidRPr="009D09CE">
        <w:t>.</w:t>
      </w:r>
      <w:r w:rsidR="0052705E">
        <w:t xml:space="preserve"> </w:t>
      </w:r>
    </w:p>
    <w:p w14:paraId="07199D88" w14:textId="79CF4389" w:rsidR="0052705E" w:rsidRPr="009D09CE" w:rsidRDefault="00535F63" w:rsidP="00821450">
      <w:r>
        <w:t xml:space="preserve">Denne delrapporten utdyper hvordan mandatet er blitt tolket i arbeidet til AP11, og gir viktig bakgrunnsinformasjon som leder opp til anbefalingene. AP11 har også laget en ordliste, der vi forklarer en del begreper vi har brukt i </w:t>
      </w:r>
      <w:r w:rsidR="00985509">
        <w:t>arbeidet</w:t>
      </w:r>
      <w:r>
        <w:t>.</w:t>
      </w:r>
    </w:p>
    <w:bookmarkEnd w:id="1"/>
    <w:p w14:paraId="5E40EE6D" w14:textId="77777777" w:rsidR="009A6DEB" w:rsidRDefault="009A6DEB" w:rsidP="00454AD3"/>
    <w:p w14:paraId="10A4809C" w14:textId="5981FD6F" w:rsidR="00A71723" w:rsidRPr="0021120B" w:rsidRDefault="00A71723" w:rsidP="00B00875">
      <w:pPr>
        <w:pStyle w:val="Overskrift1"/>
      </w:pPr>
      <w:bookmarkStart w:id="2" w:name="_Toc192525141"/>
      <w:r>
        <w:t>Terminologi - ordliste</w:t>
      </w:r>
      <w:bookmarkEnd w:id="2"/>
    </w:p>
    <w:p w14:paraId="01B37C52" w14:textId="2E323B84" w:rsidR="002C000E" w:rsidRDefault="002C000E" w:rsidP="002C000E">
      <w:r w:rsidRPr="00155851">
        <w:t>I dette a</w:t>
      </w:r>
      <w:r>
        <w:t xml:space="preserve">vsnittet har vi </w:t>
      </w:r>
      <w:r w:rsidR="00C93F52">
        <w:t xml:space="preserve">samlet </w:t>
      </w:r>
      <w:r>
        <w:t>sentrale begrep</w:t>
      </w:r>
      <w:r w:rsidRPr="00155851">
        <w:t xml:space="preserve"> brukt i </w:t>
      </w:r>
      <w:r w:rsidR="00B84047">
        <w:t>denne rapporten</w:t>
      </w:r>
      <w:r w:rsidRPr="00155851">
        <w:t xml:space="preserve">, med </w:t>
      </w:r>
      <w:r w:rsidR="00E73C99">
        <w:t>beskrivelse</w:t>
      </w:r>
      <w:r w:rsidR="00C93F52">
        <w:t xml:space="preserve"> av</w:t>
      </w:r>
      <w:r w:rsidRPr="00155851">
        <w:t xml:space="preserve"> hva begrepene b</w:t>
      </w:r>
      <w:r>
        <w:t>etyr</w:t>
      </w:r>
      <w:r w:rsidR="00E73C99">
        <w:t xml:space="preserve"> i </w:t>
      </w:r>
      <w:r w:rsidR="00B84047">
        <w:t>AP11s arbeid</w:t>
      </w:r>
      <w:r w:rsidRPr="00155851">
        <w:t xml:space="preserve">. Vi knytter også norske termer opp mot engelske termer, </w:t>
      </w:r>
      <w:r>
        <w:t xml:space="preserve">for å </w:t>
      </w:r>
      <w:r w:rsidR="00FD06D6">
        <w:t>bidra til</w:t>
      </w:r>
      <w:r w:rsidR="00FD06D6" w:rsidRPr="00155851">
        <w:t xml:space="preserve"> </w:t>
      </w:r>
      <w:r w:rsidRPr="00155851">
        <w:t>enhetlig bruk mot internasjonale samarbeidspartnere</w:t>
      </w:r>
      <w:r>
        <w:t>.</w:t>
      </w:r>
    </w:p>
    <w:p w14:paraId="547B33A2" w14:textId="77777777" w:rsidR="002B7F01" w:rsidRPr="003668F9" w:rsidRDefault="002B7F01" w:rsidP="002B7F01">
      <w:pPr>
        <w:rPr>
          <w:color w:val="00B0F0"/>
        </w:rPr>
      </w:pPr>
      <w:r w:rsidRPr="002B7F01">
        <w:rPr>
          <w:color w:val="auto"/>
        </w:rPr>
        <w:t>Det vises også til NorCRINs liste med definisjoner, som ligger i Metodebok og SOP 1</w:t>
      </w:r>
      <w:r>
        <w:rPr>
          <w:color w:val="00B0F0"/>
        </w:rPr>
        <w:t xml:space="preserve">, </w:t>
      </w:r>
      <w:hyperlink r:id="rId9" w:history="1">
        <w:r w:rsidRPr="00AF5296">
          <w:rPr>
            <w:rStyle w:val="Hyperkobling"/>
          </w:rPr>
          <w:t>her</w:t>
        </w:r>
      </w:hyperlink>
    </w:p>
    <w:p w14:paraId="11E688B0" w14:textId="77777777" w:rsidR="00A71723" w:rsidRDefault="00A71723" w:rsidP="00A71723"/>
    <w:tbl>
      <w:tblPr>
        <w:tblStyle w:val="Tabellrutenett"/>
        <w:tblW w:w="0" w:type="auto"/>
        <w:tblLook w:val="04A0" w:firstRow="1" w:lastRow="0" w:firstColumn="1" w:lastColumn="0" w:noHBand="0" w:noVBand="1"/>
      </w:tblPr>
      <w:tblGrid>
        <w:gridCol w:w="2152"/>
        <w:gridCol w:w="1523"/>
        <w:gridCol w:w="3154"/>
        <w:gridCol w:w="2231"/>
      </w:tblGrid>
      <w:tr w:rsidR="002B7F01" w14:paraId="7126E65E" w14:textId="77777777" w:rsidTr="00B578CD">
        <w:trPr>
          <w:tblHeader/>
        </w:trPr>
        <w:tc>
          <w:tcPr>
            <w:tcW w:w="2099" w:type="dxa"/>
            <w:shd w:val="clear" w:color="auto" w:fill="C6D9F1" w:themeFill="text2" w:themeFillTint="33"/>
          </w:tcPr>
          <w:p w14:paraId="0AFD63EB" w14:textId="77777777" w:rsidR="002B7F01" w:rsidRPr="00F953DC" w:rsidRDefault="002B7F01" w:rsidP="00B578CD">
            <w:r w:rsidRPr="00F953DC">
              <w:t>Norsk term</w:t>
            </w:r>
          </w:p>
        </w:tc>
        <w:tc>
          <w:tcPr>
            <w:tcW w:w="1567" w:type="dxa"/>
            <w:shd w:val="clear" w:color="auto" w:fill="C6D9F1" w:themeFill="text2" w:themeFillTint="33"/>
          </w:tcPr>
          <w:p w14:paraId="35EEE55F" w14:textId="77777777" w:rsidR="002B7F01" w:rsidRPr="00F953DC" w:rsidRDefault="002B7F01" w:rsidP="00B578CD">
            <w:r w:rsidRPr="00F953DC">
              <w:t>Engelsk term</w:t>
            </w:r>
          </w:p>
        </w:tc>
        <w:tc>
          <w:tcPr>
            <w:tcW w:w="3154" w:type="dxa"/>
            <w:shd w:val="clear" w:color="auto" w:fill="C6D9F1" w:themeFill="text2" w:themeFillTint="33"/>
          </w:tcPr>
          <w:p w14:paraId="28E22D6D" w14:textId="77777777" w:rsidR="002B7F01" w:rsidRPr="00F953DC" w:rsidRDefault="002B7F01" w:rsidP="00B578CD">
            <w:r w:rsidRPr="00F953DC">
              <w:t>Forklaring</w:t>
            </w:r>
          </w:p>
        </w:tc>
        <w:tc>
          <w:tcPr>
            <w:tcW w:w="2240" w:type="dxa"/>
            <w:shd w:val="clear" w:color="auto" w:fill="C6D9F1" w:themeFill="text2" w:themeFillTint="33"/>
          </w:tcPr>
          <w:p w14:paraId="07F5861E" w14:textId="77777777" w:rsidR="002B7F01" w:rsidRPr="00F953DC" w:rsidRDefault="002B7F01" w:rsidP="00B578CD">
            <w:r w:rsidRPr="00F953DC">
              <w:t>Kommentar</w:t>
            </w:r>
          </w:p>
        </w:tc>
      </w:tr>
      <w:tr w:rsidR="002B7F01" w14:paraId="213420B1" w14:textId="77777777" w:rsidTr="00B578CD">
        <w:tc>
          <w:tcPr>
            <w:tcW w:w="2099" w:type="dxa"/>
          </w:tcPr>
          <w:p w14:paraId="7C608A33" w14:textId="77777777" w:rsidR="002B7F01" w:rsidRDefault="002B7F01" w:rsidP="00B578CD">
            <w:r>
              <w:t>Administrativ forskningsstøtte</w:t>
            </w:r>
          </w:p>
        </w:tc>
        <w:tc>
          <w:tcPr>
            <w:tcW w:w="1567" w:type="dxa"/>
          </w:tcPr>
          <w:p w14:paraId="1EA2AFA7" w14:textId="77777777" w:rsidR="002B7F01" w:rsidRDefault="002B7F01" w:rsidP="00B578CD"/>
        </w:tc>
        <w:tc>
          <w:tcPr>
            <w:tcW w:w="3154" w:type="dxa"/>
          </w:tcPr>
          <w:p w14:paraId="62396D83" w14:textId="77777777" w:rsidR="002B7F01" w:rsidRDefault="002B7F01" w:rsidP="00B578CD">
            <w:r>
              <w:t>Brukt som samlebegrep å enheter i forskningsstøtte som ikke er i kontakt med pasienter /forsøksdeltakere</w:t>
            </w:r>
          </w:p>
        </w:tc>
        <w:tc>
          <w:tcPr>
            <w:tcW w:w="2240" w:type="dxa"/>
          </w:tcPr>
          <w:p w14:paraId="502B1E3E" w14:textId="77777777" w:rsidR="002B7F01" w:rsidRDefault="002B7F01" w:rsidP="00B578CD">
            <w:r>
              <w:t>Ofte kalt forskningsstøtte, men begrepet er tatt i bruk for å skille slike enheter fra forskningsposter, forskningspoliklinikker og FoU-enheter i klinikkene</w:t>
            </w:r>
          </w:p>
        </w:tc>
      </w:tr>
      <w:tr w:rsidR="002B7F01" w14:paraId="4165BB39" w14:textId="77777777" w:rsidTr="00B578CD">
        <w:tc>
          <w:tcPr>
            <w:tcW w:w="2099" w:type="dxa"/>
          </w:tcPr>
          <w:p w14:paraId="67D6FCEA" w14:textId="77777777" w:rsidR="002B7F01" w:rsidRDefault="002B7F01" w:rsidP="00B578CD">
            <w:r>
              <w:t xml:space="preserve">Akademisk studie/utprøvning </w:t>
            </w:r>
          </w:p>
        </w:tc>
        <w:tc>
          <w:tcPr>
            <w:tcW w:w="1567" w:type="dxa"/>
          </w:tcPr>
          <w:p w14:paraId="3DB19C50" w14:textId="77777777" w:rsidR="002B7F01" w:rsidRDefault="002B7F01" w:rsidP="00B578CD">
            <w:proofErr w:type="spellStart"/>
            <w:r>
              <w:t>Academic</w:t>
            </w:r>
            <w:proofErr w:type="spellEnd"/>
            <w:r>
              <w:t xml:space="preserve"> trial</w:t>
            </w:r>
          </w:p>
        </w:tc>
        <w:tc>
          <w:tcPr>
            <w:tcW w:w="3154" w:type="dxa"/>
          </w:tcPr>
          <w:p w14:paraId="61C673D7" w14:textId="77777777" w:rsidR="002B7F01" w:rsidRDefault="002B7F01" w:rsidP="00B578CD">
            <w:r>
              <w:t>Brukes om kliniske studier som er initiert av forsker(e) fra en akademisk institusjon/helseforetak/sykehus</w:t>
            </w:r>
          </w:p>
        </w:tc>
        <w:tc>
          <w:tcPr>
            <w:tcW w:w="2240" w:type="dxa"/>
          </w:tcPr>
          <w:p w14:paraId="1556E396" w14:textId="77777777" w:rsidR="002B7F01" w:rsidRDefault="002B7F01" w:rsidP="00B578CD"/>
        </w:tc>
      </w:tr>
      <w:tr w:rsidR="002B7F01" w14:paraId="015C41BF" w14:textId="77777777" w:rsidTr="00B578CD">
        <w:tc>
          <w:tcPr>
            <w:tcW w:w="2099" w:type="dxa"/>
          </w:tcPr>
          <w:p w14:paraId="76CC495A" w14:textId="77777777" w:rsidR="002B7F01" w:rsidRDefault="002B7F01" w:rsidP="00B578CD">
            <w:r>
              <w:t>Bidragsstudie</w:t>
            </w:r>
          </w:p>
        </w:tc>
        <w:tc>
          <w:tcPr>
            <w:tcW w:w="1567" w:type="dxa"/>
          </w:tcPr>
          <w:p w14:paraId="1627051F" w14:textId="77777777" w:rsidR="002B7F01" w:rsidRDefault="002B7F01" w:rsidP="00B578CD"/>
        </w:tc>
        <w:tc>
          <w:tcPr>
            <w:tcW w:w="3154" w:type="dxa"/>
          </w:tcPr>
          <w:p w14:paraId="71FC40D0" w14:textId="77777777" w:rsidR="002B7F01" w:rsidRDefault="002B7F01" w:rsidP="00B578CD">
            <w:r>
              <w:t xml:space="preserve">Begrepet bidragsstudier brukes gjerne om forskerinitierte eller akademisk studier der legemiddel- </w:t>
            </w:r>
            <w:r w:rsidRPr="00C85E54">
              <w:t>eller medisinsk utstyrsindustri bidrar med</w:t>
            </w:r>
            <w:r>
              <w:t xml:space="preserve"> f.eks. legemiddel, medisinsk eller diagnostisk utstyr, eller finansiering til gjennomføring av studien</w:t>
            </w:r>
          </w:p>
        </w:tc>
        <w:tc>
          <w:tcPr>
            <w:tcW w:w="2240" w:type="dxa"/>
          </w:tcPr>
          <w:p w14:paraId="754F617F" w14:textId="77777777" w:rsidR="002B7F01" w:rsidRDefault="002B7F01" w:rsidP="00B578CD">
            <w:r w:rsidRPr="00612FF9">
              <w:t xml:space="preserve">Det som først og fremst skiller en bidragsstudie fra en </w:t>
            </w:r>
            <w:proofErr w:type="spellStart"/>
            <w:r w:rsidRPr="00612FF9">
              <w:t>oppdragsstudie</w:t>
            </w:r>
            <w:proofErr w:type="spellEnd"/>
            <w:r w:rsidRPr="00612FF9">
              <w:t xml:space="preserve"> er at det er den akademiske parten</w:t>
            </w:r>
            <w:r>
              <w:t>, eller HF/sykehus,</w:t>
            </w:r>
            <w:r w:rsidRPr="00612FF9">
              <w:t xml:space="preserve"> som har sponsorrollen</w:t>
            </w:r>
            <w:r>
              <w:t>, og eier dataene</w:t>
            </w:r>
          </w:p>
        </w:tc>
      </w:tr>
      <w:tr w:rsidR="002B7F01" w14:paraId="4CF508D7" w14:textId="77777777" w:rsidTr="00B578CD">
        <w:tc>
          <w:tcPr>
            <w:tcW w:w="2099" w:type="dxa"/>
          </w:tcPr>
          <w:p w14:paraId="4D808821" w14:textId="77777777" w:rsidR="002B7F01" w:rsidRDefault="002B7F01" w:rsidP="00B578CD">
            <w:r>
              <w:t>Forskerinitierte studier</w:t>
            </w:r>
          </w:p>
        </w:tc>
        <w:tc>
          <w:tcPr>
            <w:tcW w:w="1567" w:type="dxa"/>
          </w:tcPr>
          <w:p w14:paraId="56F32BBC" w14:textId="77777777" w:rsidR="002B7F01" w:rsidRDefault="002B7F01" w:rsidP="00B578CD">
            <w:proofErr w:type="spellStart"/>
            <w:r>
              <w:t>Investigator</w:t>
            </w:r>
            <w:proofErr w:type="spellEnd"/>
            <w:r>
              <w:t xml:space="preserve"> </w:t>
            </w:r>
            <w:proofErr w:type="spellStart"/>
            <w:r>
              <w:t>initiated</w:t>
            </w:r>
            <w:proofErr w:type="spellEnd"/>
            <w:r>
              <w:t xml:space="preserve"> trials</w:t>
            </w:r>
          </w:p>
        </w:tc>
        <w:tc>
          <w:tcPr>
            <w:tcW w:w="3154" w:type="dxa"/>
          </w:tcPr>
          <w:p w14:paraId="49E1ABA8" w14:textId="77777777" w:rsidR="002B7F01" w:rsidRDefault="002B7F01" w:rsidP="00B578CD">
            <w:r>
              <w:t>Se Akademisk studie</w:t>
            </w:r>
          </w:p>
        </w:tc>
        <w:tc>
          <w:tcPr>
            <w:tcW w:w="2240" w:type="dxa"/>
          </w:tcPr>
          <w:p w14:paraId="71831622" w14:textId="77777777" w:rsidR="002B7F01" w:rsidRDefault="002B7F01" w:rsidP="00B578CD"/>
        </w:tc>
      </w:tr>
      <w:tr w:rsidR="002B7F01" w14:paraId="16CBFE3E" w14:textId="77777777" w:rsidTr="00B578CD">
        <w:tc>
          <w:tcPr>
            <w:tcW w:w="2099" w:type="dxa"/>
          </w:tcPr>
          <w:p w14:paraId="6F610EEC" w14:textId="77777777" w:rsidR="002B7F01" w:rsidRDefault="002B7F01" w:rsidP="00B578CD">
            <w:r>
              <w:lastRenderedPageBreak/>
              <w:t>Forskningspoliklinikk</w:t>
            </w:r>
          </w:p>
        </w:tc>
        <w:tc>
          <w:tcPr>
            <w:tcW w:w="1567" w:type="dxa"/>
          </w:tcPr>
          <w:p w14:paraId="7986665F" w14:textId="77777777" w:rsidR="002B7F01" w:rsidRDefault="002B7F01" w:rsidP="00B578CD"/>
        </w:tc>
        <w:tc>
          <w:tcPr>
            <w:tcW w:w="3154" w:type="dxa"/>
          </w:tcPr>
          <w:p w14:paraId="3412476B" w14:textId="77777777" w:rsidR="002B7F01" w:rsidRDefault="002B7F01" w:rsidP="00B578CD">
            <w:r>
              <w:t>Se Forskningspost</w:t>
            </w:r>
          </w:p>
        </w:tc>
        <w:tc>
          <w:tcPr>
            <w:tcW w:w="2240" w:type="dxa"/>
          </w:tcPr>
          <w:p w14:paraId="3C4AA5EB" w14:textId="77777777" w:rsidR="002B7F01" w:rsidRDefault="002B7F01" w:rsidP="00B578CD"/>
        </w:tc>
      </w:tr>
      <w:tr w:rsidR="002B7F01" w14:paraId="0361CEF6" w14:textId="77777777" w:rsidTr="00B578CD">
        <w:tc>
          <w:tcPr>
            <w:tcW w:w="2099" w:type="dxa"/>
          </w:tcPr>
          <w:p w14:paraId="2AE54A25" w14:textId="77777777" w:rsidR="002B7F01" w:rsidRDefault="002B7F01" w:rsidP="00B578CD">
            <w:r>
              <w:t>Forskningspost</w:t>
            </w:r>
          </w:p>
        </w:tc>
        <w:tc>
          <w:tcPr>
            <w:tcW w:w="1567" w:type="dxa"/>
          </w:tcPr>
          <w:p w14:paraId="395A3B11" w14:textId="77777777" w:rsidR="002B7F01" w:rsidRDefault="002B7F01" w:rsidP="00B578CD"/>
        </w:tc>
        <w:tc>
          <w:tcPr>
            <w:tcW w:w="3154" w:type="dxa"/>
          </w:tcPr>
          <w:p w14:paraId="5598DBE8" w14:textId="77777777" w:rsidR="002B7F01" w:rsidRDefault="002B7F01" w:rsidP="00B578CD">
            <w:r>
              <w:t>Om enhet, i stab eller klinikk/divisjon/enhet, som har personell, kompetanse og utstyr og som kan gjøre behandling/intervensjon på studiedeltakere/pasienter</w:t>
            </w:r>
          </w:p>
        </w:tc>
        <w:tc>
          <w:tcPr>
            <w:tcW w:w="2240" w:type="dxa"/>
          </w:tcPr>
          <w:p w14:paraId="6439403A" w14:textId="77777777" w:rsidR="002B7F01" w:rsidRDefault="002B7F01" w:rsidP="00B578CD"/>
        </w:tc>
      </w:tr>
      <w:tr w:rsidR="002B7F01" w14:paraId="28D807A9" w14:textId="77777777" w:rsidTr="00B578CD">
        <w:tc>
          <w:tcPr>
            <w:tcW w:w="2099" w:type="dxa"/>
          </w:tcPr>
          <w:p w14:paraId="5A4D5755" w14:textId="77777777" w:rsidR="002B7F01" w:rsidRDefault="002B7F01" w:rsidP="00B578CD">
            <w:r>
              <w:t>Forskningsstøtte</w:t>
            </w:r>
          </w:p>
        </w:tc>
        <w:tc>
          <w:tcPr>
            <w:tcW w:w="1567" w:type="dxa"/>
          </w:tcPr>
          <w:p w14:paraId="641C38E9" w14:textId="77777777" w:rsidR="002B7F01" w:rsidRDefault="002B7F01" w:rsidP="00B578CD"/>
        </w:tc>
        <w:tc>
          <w:tcPr>
            <w:tcW w:w="3154" w:type="dxa"/>
          </w:tcPr>
          <w:p w14:paraId="29C0251A" w14:textId="77777777" w:rsidR="002B7F01" w:rsidRDefault="002B7F01" w:rsidP="00B578CD">
            <w:r>
              <w:t>Synonymt med «Infrastruktur for forskningsstøtte», se under</w:t>
            </w:r>
          </w:p>
        </w:tc>
        <w:tc>
          <w:tcPr>
            <w:tcW w:w="2240" w:type="dxa"/>
          </w:tcPr>
          <w:p w14:paraId="4B5C23D9" w14:textId="77777777" w:rsidR="002B7F01" w:rsidRDefault="002B7F01" w:rsidP="00B578CD"/>
        </w:tc>
      </w:tr>
      <w:tr w:rsidR="002B7F01" w14:paraId="64F9EE1B" w14:textId="77777777" w:rsidTr="00B578CD">
        <w:tc>
          <w:tcPr>
            <w:tcW w:w="2099" w:type="dxa"/>
          </w:tcPr>
          <w:p w14:paraId="02AAB158" w14:textId="77777777" w:rsidR="002B7F01" w:rsidRDefault="002B7F01" w:rsidP="00B578CD">
            <w:r>
              <w:t>Infrastruktur for forskningsstøtte</w:t>
            </w:r>
          </w:p>
        </w:tc>
        <w:tc>
          <w:tcPr>
            <w:tcW w:w="1567" w:type="dxa"/>
          </w:tcPr>
          <w:p w14:paraId="6962335D" w14:textId="77777777" w:rsidR="002B7F01" w:rsidRDefault="002B7F01" w:rsidP="00B578CD"/>
        </w:tc>
        <w:tc>
          <w:tcPr>
            <w:tcW w:w="3154" w:type="dxa"/>
          </w:tcPr>
          <w:p w14:paraId="7759720B" w14:textId="77777777" w:rsidR="002B7F01" w:rsidRDefault="002B7F01" w:rsidP="00B578CD">
            <w:r>
              <w:t>Samlebetegnelse på enheter som inngår i forskningsstøtte, inkl. forskningsposter, støtte-enheter ute i klinikkene/divisjonene samt administrativ forskningsstøtte</w:t>
            </w:r>
          </w:p>
        </w:tc>
        <w:tc>
          <w:tcPr>
            <w:tcW w:w="2240" w:type="dxa"/>
          </w:tcPr>
          <w:p w14:paraId="3D78F91F" w14:textId="77777777" w:rsidR="002B7F01" w:rsidRDefault="002B7F01" w:rsidP="00B578CD">
            <w:r>
              <w:t>Administrativ forskningsstøtte i AP11-betydning, se over</w:t>
            </w:r>
          </w:p>
        </w:tc>
      </w:tr>
      <w:tr w:rsidR="002B7F01" w14:paraId="76E757DA" w14:textId="77777777" w:rsidTr="00B578CD">
        <w:tc>
          <w:tcPr>
            <w:tcW w:w="2099" w:type="dxa"/>
          </w:tcPr>
          <w:p w14:paraId="3199D24D" w14:textId="77777777" w:rsidR="002B7F01" w:rsidRDefault="002B7F01" w:rsidP="00B578CD">
            <w:r>
              <w:t>Klinisk studie</w:t>
            </w:r>
          </w:p>
        </w:tc>
        <w:tc>
          <w:tcPr>
            <w:tcW w:w="1567" w:type="dxa"/>
          </w:tcPr>
          <w:p w14:paraId="75259994" w14:textId="77777777" w:rsidR="002B7F01" w:rsidRDefault="002B7F01" w:rsidP="00B578CD">
            <w:proofErr w:type="spellStart"/>
            <w:r>
              <w:t>Clinical</w:t>
            </w:r>
            <w:proofErr w:type="spellEnd"/>
            <w:r>
              <w:t xml:space="preserve"> </w:t>
            </w:r>
            <w:proofErr w:type="spellStart"/>
            <w:r>
              <w:t>study</w:t>
            </w:r>
            <w:proofErr w:type="spellEnd"/>
          </w:p>
        </w:tc>
        <w:tc>
          <w:tcPr>
            <w:tcW w:w="3154" w:type="dxa"/>
          </w:tcPr>
          <w:p w14:paraId="3E81B927" w14:textId="77777777" w:rsidR="002B7F01" w:rsidRDefault="002B7F01" w:rsidP="00B578CD">
            <w:r>
              <w:t>Et forskningsprosjekt som involverer mennesker og som er søknadspliktig til myndighet. Inkluderer både intervensjons- og observasjons-studier</w:t>
            </w:r>
          </w:p>
          <w:p w14:paraId="11A8E6B6" w14:textId="77777777" w:rsidR="002B7F01" w:rsidRDefault="002B7F01" w:rsidP="00B578CD"/>
          <w:p w14:paraId="17A789EB" w14:textId="77777777" w:rsidR="002B7F01" w:rsidRDefault="002B7F01" w:rsidP="00B578CD"/>
        </w:tc>
        <w:tc>
          <w:tcPr>
            <w:tcW w:w="2240" w:type="dxa"/>
          </w:tcPr>
          <w:p w14:paraId="1162BFE2" w14:textId="77777777" w:rsidR="002B7F01" w:rsidRDefault="002B7F01" w:rsidP="00B578CD">
            <w:r>
              <w:t>For AP11s arbeid, er definisjonen i AP11s Mandat lagt til grunn: se kap. 4</w:t>
            </w:r>
          </w:p>
          <w:p w14:paraId="14680DD5" w14:textId="77777777" w:rsidR="002B7F01" w:rsidRPr="00C96C76" w:rsidRDefault="002B7F01" w:rsidP="00B578CD">
            <w:pPr>
              <w:rPr>
                <w:rFonts w:cs="Arial"/>
                <w:i/>
                <w:color w:val="222222"/>
                <w:szCs w:val="18"/>
              </w:rPr>
            </w:pPr>
            <w:r>
              <w:t>Termen har en noe annerledes definisjon enn den i NorCRINs liste over definisjoner</w:t>
            </w:r>
          </w:p>
        </w:tc>
      </w:tr>
      <w:tr w:rsidR="002B7F01" w14:paraId="10537D30" w14:textId="77777777" w:rsidTr="00B578CD">
        <w:tc>
          <w:tcPr>
            <w:tcW w:w="2099" w:type="dxa"/>
          </w:tcPr>
          <w:p w14:paraId="24223E3C" w14:textId="1DBF55EA" w:rsidR="002B7F01" w:rsidRDefault="002B7F01" w:rsidP="00B578CD">
            <w:r>
              <w:t>Klinisk utprøvning</w:t>
            </w:r>
          </w:p>
        </w:tc>
        <w:tc>
          <w:tcPr>
            <w:tcW w:w="1567" w:type="dxa"/>
          </w:tcPr>
          <w:p w14:paraId="50BA36F9" w14:textId="77777777" w:rsidR="002B7F01" w:rsidRDefault="002B7F01" w:rsidP="00B578CD">
            <w:r>
              <w:t>Clinical trial</w:t>
            </w:r>
          </w:p>
        </w:tc>
        <w:tc>
          <w:tcPr>
            <w:tcW w:w="3154" w:type="dxa"/>
          </w:tcPr>
          <w:p w14:paraId="12DBCA9F" w14:textId="77777777" w:rsidR="002B7F01" w:rsidRDefault="002B7F01" w:rsidP="00B578CD"/>
          <w:p w14:paraId="14F8F946" w14:textId="77777777" w:rsidR="002B7F01" w:rsidRDefault="002B7F01" w:rsidP="00B578CD">
            <w:r>
              <w:t>Se NorCRINs definisjoner</w:t>
            </w:r>
          </w:p>
        </w:tc>
        <w:tc>
          <w:tcPr>
            <w:tcW w:w="2240" w:type="dxa"/>
          </w:tcPr>
          <w:p w14:paraId="2E7FBF28" w14:textId="77777777" w:rsidR="002B7F01" w:rsidRDefault="002B7F01" w:rsidP="00B578CD"/>
          <w:p w14:paraId="75D53B5E" w14:textId="77777777" w:rsidR="002B7F01" w:rsidRDefault="002B7F01" w:rsidP="00B578CD"/>
        </w:tc>
      </w:tr>
      <w:tr w:rsidR="002B7F01" w:rsidRPr="00D97F74" w14:paraId="640C8731" w14:textId="77777777" w:rsidTr="00B578CD">
        <w:tc>
          <w:tcPr>
            <w:tcW w:w="2099" w:type="dxa"/>
          </w:tcPr>
          <w:p w14:paraId="6DF64D9C" w14:textId="77777777" w:rsidR="002B7F01" w:rsidRDefault="002B7F01" w:rsidP="00B578CD">
            <w:r w:rsidRPr="00417AA1">
              <w:t>Medisinsk utstyr (MU</w:t>
            </w:r>
            <w:r>
              <w:t>)</w:t>
            </w:r>
          </w:p>
        </w:tc>
        <w:tc>
          <w:tcPr>
            <w:tcW w:w="1567" w:type="dxa"/>
          </w:tcPr>
          <w:p w14:paraId="1D0C5C33" w14:textId="77777777" w:rsidR="002B7F01" w:rsidRDefault="002B7F01" w:rsidP="00B578CD">
            <w:r>
              <w:t xml:space="preserve">Medical </w:t>
            </w:r>
            <w:proofErr w:type="spellStart"/>
            <w:r>
              <w:t>device</w:t>
            </w:r>
            <w:proofErr w:type="spellEnd"/>
          </w:p>
        </w:tc>
        <w:tc>
          <w:tcPr>
            <w:tcW w:w="3154" w:type="dxa"/>
          </w:tcPr>
          <w:p w14:paraId="7E39D42F" w14:textId="77777777" w:rsidR="002B7F01" w:rsidRDefault="002B7F01" w:rsidP="00B578CD">
            <w:r>
              <w:t xml:space="preserve">Medisinsk utstyr er definert innenfor medisinsk forskning som «ethvert instrument, apparat, utstyr, programvare, implantat, reagens, materiale eller annen gjenstand, som ... blir brukt på mennesker med henblikk på ett eller </w:t>
            </w:r>
            <w:proofErr w:type="gramStart"/>
            <w:r>
              <w:t>flere .</w:t>
            </w:r>
            <w:proofErr w:type="gramEnd"/>
            <w:r>
              <w:t>. medisinske formål ...»</w:t>
            </w:r>
          </w:p>
        </w:tc>
        <w:tc>
          <w:tcPr>
            <w:tcW w:w="2240" w:type="dxa"/>
          </w:tcPr>
          <w:p w14:paraId="0B8E101B" w14:textId="77777777" w:rsidR="002B7F01" w:rsidRPr="005E665E" w:rsidRDefault="00B76ADC" w:rsidP="00B578CD">
            <w:pPr>
              <w:rPr>
                <w:lang w:val="en-US"/>
              </w:rPr>
            </w:pPr>
            <w:hyperlink r:id="rId10" w:history="1">
              <w:r w:rsidR="002B7F01" w:rsidRPr="005E665E">
                <w:rPr>
                  <w:rStyle w:val="Hyperkobling"/>
                  <w:lang w:val="en-US"/>
                </w:rPr>
                <w:t xml:space="preserve">Se Medical Device Regulation, </w:t>
              </w:r>
              <w:proofErr w:type="spellStart"/>
              <w:r w:rsidR="002B7F01" w:rsidRPr="005E665E">
                <w:rPr>
                  <w:rStyle w:val="Hyperkobling"/>
                  <w:lang w:val="en-US"/>
                </w:rPr>
                <w:t>a</w:t>
              </w:r>
              <w:r w:rsidR="002B7F01" w:rsidRPr="008E75DE">
                <w:rPr>
                  <w:rStyle w:val="Hyperkobling"/>
                  <w:lang w:val="en-US"/>
                </w:rPr>
                <w:t>rtikkel</w:t>
              </w:r>
              <w:proofErr w:type="spellEnd"/>
              <w:r w:rsidR="002B7F01" w:rsidRPr="008E75DE">
                <w:rPr>
                  <w:rStyle w:val="Hyperkobling"/>
                  <w:lang w:val="en-US"/>
                </w:rPr>
                <w:t xml:space="preserve"> 2 (1)</w:t>
              </w:r>
            </w:hyperlink>
          </w:p>
        </w:tc>
      </w:tr>
      <w:tr w:rsidR="002B7F01" w14:paraId="17AFFDB2" w14:textId="77777777" w:rsidTr="00B578CD">
        <w:tc>
          <w:tcPr>
            <w:tcW w:w="2099" w:type="dxa"/>
          </w:tcPr>
          <w:p w14:paraId="4FAB4328" w14:textId="1ED1E223" w:rsidR="002B7F01" w:rsidRPr="002006D6" w:rsidRDefault="002B7F01" w:rsidP="00B578CD">
            <w:pPr>
              <w:rPr>
                <w:highlight w:val="yellow"/>
              </w:rPr>
            </w:pPr>
            <w:proofErr w:type="spellStart"/>
            <w:r>
              <w:t>Observasjonsstudie</w:t>
            </w:r>
            <w:proofErr w:type="spellEnd"/>
          </w:p>
        </w:tc>
        <w:tc>
          <w:tcPr>
            <w:tcW w:w="1567" w:type="dxa"/>
          </w:tcPr>
          <w:p w14:paraId="783C45FF" w14:textId="1C5176A4" w:rsidR="002B7F01" w:rsidRDefault="002B7F01" w:rsidP="00B578CD">
            <w:proofErr w:type="spellStart"/>
            <w:r w:rsidRPr="00045FC5">
              <w:t>Observational</w:t>
            </w:r>
            <w:proofErr w:type="spellEnd"/>
            <w:r w:rsidRPr="00045FC5">
              <w:t xml:space="preserve"> </w:t>
            </w:r>
            <w:proofErr w:type="spellStart"/>
            <w:r w:rsidRPr="00045FC5">
              <w:t>stud</w:t>
            </w:r>
            <w:r>
              <w:t>y</w:t>
            </w:r>
            <w:proofErr w:type="spellEnd"/>
          </w:p>
        </w:tc>
        <w:tc>
          <w:tcPr>
            <w:tcW w:w="3154" w:type="dxa"/>
          </w:tcPr>
          <w:p w14:paraId="3B563A21" w14:textId="77777777" w:rsidR="002B7F01" w:rsidRDefault="002B7F01" w:rsidP="00B578CD">
            <w:r w:rsidRPr="008577F3">
              <w:t xml:space="preserve">I observasjonsstudier gjøres det ikke </w:t>
            </w:r>
            <w:r>
              <w:t xml:space="preserve">studiespesifikke </w:t>
            </w:r>
            <w:r w:rsidRPr="008577F3">
              <w:t>eksperimenter eller forsøk</w:t>
            </w:r>
            <w:r>
              <w:t>, dvs. det gjøres ingen intervensjon</w:t>
            </w:r>
            <w:r w:rsidRPr="008577F3">
              <w:t xml:space="preserve">, men forskeren bruker data fra for eksempel </w:t>
            </w:r>
            <w:r w:rsidRPr="008577F3">
              <w:lastRenderedPageBreak/>
              <w:t>spørreundersøkelser, store befolknings</w:t>
            </w:r>
            <w:r>
              <w:t>-</w:t>
            </w:r>
            <w:r w:rsidRPr="008577F3">
              <w:t>undersøkelser eller helseregistre</w:t>
            </w:r>
          </w:p>
        </w:tc>
        <w:tc>
          <w:tcPr>
            <w:tcW w:w="2240" w:type="dxa"/>
          </w:tcPr>
          <w:p w14:paraId="7600CC71" w14:textId="77777777" w:rsidR="002B7F01" w:rsidRDefault="002B7F01" w:rsidP="00B578CD">
            <w:r>
              <w:lastRenderedPageBreak/>
              <w:t>Som hovedregel, kreves godkjenning fra regional etisk komité, og samtykke fra deltakerne</w:t>
            </w:r>
          </w:p>
        </w:tc>
      </w:tr>
      <w:tr w:rsidR="002B7F01" w14:paraId="17BC7CDB" w14:textId="77777777" w:rsidTr="00B578CD">
        <w:tc>
          <w:tcPr>
            <w:tcW w:w="2099" w:type="dxa"/>
          </w:tcPr>
          <w:p w14:paraId="55A445D8" w14:textId="453A23C3" w:rsidR="002B7F01" w:rsidRDefault="00B21538" w:rsidP="00B578CD">
            <w:proofErr w:type="spellStart"/>
            <w:r>
              <w:t>tidlig</w:t>
            </w:r>
            <w:r w:rsidR="002B7F01">
              <w:t>Oppdragsstudier</w:t>
            </w:r>
            <w:proofErr w:type="spellEnd"/>
          </w:p>
        </w:tc>
        <w:tc>
          <w:tcPr>
            <w:tcW w:w="1567" w:type="dxa"/>
          </w:tcPr>
          <w:p w14:paraId="1A184171" w14:textId="77777777" w:rsidR="002B7F01" w:rsidRPr="00045FC5" w:rsidRDefault="002B7F01" w:rsidP="00B578CD"/>
        </w:tc>
        <w:tc>
          <w:tcPr>
            <w:tcW w:w="3154" w:type="dxa"/>
          </w:tcPr>
          <w:p w14:paraId="2F935AF4" w14:textId="77777777" w:rsidR="002B7F01" w:rsidRPr="008577F3" w:rsidRDefault="002B7F01" w:rsidP="00B578CD">
            <w:r w:rsidRPr="003A0D9E">
              <w:t>Med oppdragsstudier menes studier der en ekstern oppdragsgiver, som regel legemiddel- eller medisinsk utstyrsindustri, er sponsor</w:t>
            </w:r>
            <w:r>
              <w:t>/forskningsansvarlig</w:t>
            </w:r>
            <w:r w:rsidRPr="003A0D9E">
              <w:t xml:space="preserve">, dvs. </w:t>
            </w:r>
            <w:r>
              <w:t xml:space="preserve">bidrar til finansiering, eier dataene som </w:t>
            </w:r>
            <w:proofErr w:type="gramStart"/>
            <w:r>
              <w:t>genereres</w:t>
            </w:r>
            <w:proofErr w:type="gramEnd"/>
            <w:r>
              <w:t xml:space="preserve"> og </w:t>
            </w:r>
            <w:r w:rsidRPr="003A0D9E">
              <w:t>har det overordnede ansvaret for studien</w:t>
            </w:r>
          </w:p>
        </w:tc>
        <w:tc>
          <w:tcPr>
            <w:tcW w:w="2240" w:type="dxa"/>
          </w:tcPr>
          <w:p w14:paraId="43150062" w14:textId="77777777" w:rsidR="002B7F01" w:rsidRDefault="002B7F01" w:rsidP="00B578CD"/>
        </w:tc>
      </w:tr>
      <w:tr w:rsidR="002B7F01" w14:paraId="64884656" w14:textId="77777777" w:rsidTr="00B578CD">
        <w:tc>
          <w:tcPr>
            <w:tcW w:w="2099" w:type="dxa"/>
          </w:tcPr>
          <w:p w14:paraId="350E9B73" w14:textId="77777777" w:rsidR="002B7F01" w:rsidRDefault="002B7F01" w:rsidP="00B578CD">
            <w:r>
              <w:t>Pragmatiske studier</w:t>
            </w:r>
          </w:p>
        </w:tc>
        <w:tc>
          <w:tcPr>
            <w:tcW w:w="1567" w:type="dxa"/>
          </w:tcPr>
          <w:p w14:paraId="0C6E65F8" w14:textId="77777777" w:rsidR="002B7F01" w:rsidRPr="00045FC5" w:rsidRDefault="002B7F01" w:rsidP="00B578CD">
            <w:proofErr w:type="spellStart"/>
            <w:r>
              <w:t>Pragmatic</w:t>
            </w:r>
            <w:proofErr w:type="spellEnd"/>
            <w:r w:rsidRPr="00F46676">
              <w:t xml:space="preserve"> trials</w:t>
            </w:r>
          </w:p>
        </w:tc>
        <w:tc>
          <w:tcPr>
            <w:tcW w:w="3154" w:type="dxa"/>
          </w:tcPr>
          <w:p w14:paraId="024A90BF" w14:textId="77777777" w:rsidR="002B7F01" w:rsidRPr="003A0D9E" w:rsidRDefault="002B7F01" w:rsidP="00B578CD">
            <w:r w:rsidRPr="00E04AA2">
              <w:t xml:space="preserve">Pragmatiske studier defineres av tre kjennetegn, de skal (1) gi svar på hva som er </w:t>
            </w:r>
            <w:proofErr w:type="gramStart"/>
            <w:r w:rsidRPr="00E04AA2">
              <w:t>optimal</w:t>
            </w:r>
            <w:proofErr w:type="gramEnd"/>
            <w:r w:rsidRPr="00E04AA2">
              <w:t xml:space="preserve"> klinisk behandling med direkte betydning for pasientene, (2) inkludere pasienter og undersøke problemstillinger som er relevante for den kliniske behandlingen, og (3) benytte oppfølging og data fra etablerte kliniske systemer med klinisk relevante endepunkter</w:t>
            </w:r>
          </w:p>
        </w:tc>
        <w:tc>
          <w:tcPr>
            <w:tcW w:w="2240" w:type="dxa"/>
          </w:tcPr>
          <w:p w14:paraId="019FA4F7" w14:textId="77777777" w:rsidR="002B7F01" w:rsidRDefault="002B7F01" w:rsidP="00B578CD">
            <w:r w:rsidRPr="00E04AA2">
              <w:t>Pragmatiske studier har mange fellestrekk med tradisjonelle randomiserte kontrollerte studier, men kjennetegnes av et design der fokus er å benytte ressurser som allerede er tilgjengelige i helsetjenesten og dermed inkludere et stort antall pasienter på kort tid</w:t>
            </w:r>
          </w:p>
        </w:tc>
      </w:tr>
      <w:tr w:rsidR="002B7F01" w14:paraId="49117EE9" w14:textId="77777777" w:rsidTr="00B578CD">
        <w:tc>
          <w:tcPr>
            <w:tcW w:w="2099" w:type="dxa"/>
          </w:tcPr>
          <w:p w14:paraId="5AFF4154" w14:textId="77777777" w:rsidR="002B7F01" w:rsidRDefault="002B7F01" w:rsidP="00B578CD">
            <w:pPr>
              <w:rPr>
                <w:lang w:val="en-US"/>
              </w:rPr>
            </w:pPr>
            <w:r w:rsidRPr="002B7F01">
              <w:t>Registerforskning</w:t>
            </w:r>
          </w:p>
        </w:tc>
        <w:tc>
          <w:tcPr>
            <w:tcW w:w="1567" w:type="dxa"/>
          </w:tcPr>
          <w:p w14:paraId="0D7A166D" w14:textId="6467804E" w:rsidR="002B7F01" w:rsidRDefault="002B7F01" w:rsidP="00B578CD">
            <w:pPr>
              <w:rPr>
                <w:lang w:val="en-US"/>
              </w:rPr>
            </w:pPr>
            <w:r>
              <w:rPr>
                <w:lang w:val="en-US"/>
              </w:rPr>
              <w:t xml:space="preserve">Register </w:t>
            </w:r>
            <w:proofErr w:type="spellStart"/>
            <w:r>
              <w:rPr>
                <w:lang w:val="en-US"/>
              </w:rPr>
              <w:t>eller</w:t>
            </w:r>
            <w:proofErr w:type="spellEnd"/>
            <w:r>
              <w:rPr>
                <w:lang w:val="en-US"/>
              </w:rPr>
              <w:t xml:space="preserve"> registry research</w:t>
            </w:r>
          </w:p>
        </w:tc>
        <w:tc>
          <w:tcPr>
            <w:tcW w:w="3154" w:type="dxa"/>
          </w:tcPr>
          <w:p w14:paraId="1FBAFE16" w14:textId="743E8DC6" w:rsidR="002B7F01" w:rsidRDefault="002B7F01" w:rsidP="00B578CD">
            <w:r>
              <w:t xml:space="preserve">Se </w:t>
            </w:r>
            <w:proofErr w:type="spellStart"/>
            <w:r>
              <w:t>Observasjonsstudie</w:t>
            </w:r>
            <w:proofErr w:type="spellEnd"/>
            <w:r>
              <w:t>, over</w:t>
            </w:r>
          </w:p>
        </w:tc>
        <w:tc>
          <w:tcPr>
            <w:tcW w:w="2240" w:type="dxa"/>
          </w:tcPr>
          <w:p w14:paraId="63B24517" w14:textId="0556D260" w:rsidR="002B7F01" w:rsidRDefault="002B7F01" w:rsidP="00B578CD"/>
        </w:tc>
      </w:tr>
      <w:tr w:rsidR="002B7F01" w14:paraId="109D9032" w14:textId="77777777" w:rsidTr="00B578CD">
        <w:tc>
          <w:tcPr>
            <w:tcW w:w="2099" w:type="dxa"/>
          </w:tcPr>
          <w:p w14:paraId="3F3E9EA4" w14:textId="77777777" w:rsidR="002B7F01" w:rsidRPr="00E51E0D" w:rsidRDefault="002B7F01" w:rsidP="00B578CD">
            <w:pPr>
              <w:rPr>
                <w:highlight w:val="yellow"/>
              </w:rPr>
            </w:pPr>
            <w:r>
              <w:rPr>
                <w:lang w:val="en-US"/>
              </w:rPr>
              <w:t>Sponsor</w:t>
            </w:r>
          </w:p>
        </w:tc>
        <w:tc>
          <w:tcPr>
            <w:tcW w:w="1567" w:type="dxa"/>
          </w:tcPr>
          <w:p w14:paraId="6058C5EE" w14:textId="77777777" w:rsidR="002B7F01" w:rsidRDefault="002B7F01" w:rsidP="00B578CD">
            <w:pPr>
              <w:rPr>
                <w:lang w:val="en-US"/>
              </w:rPr>
            </w:pPr>
            <w:r>
              <w:rPr>
                <w:lang w:val="en-US"/>
              </w:rPr>
              <w:t>Sponsor</w:t>
            </w:r>
          </w:p>
        </w:tc>
        <w:tc>
          <w:tcPr>
            <w:tcW w:w="3154" w:type="dxa"/>
          </w:tcPr>
          <w:p w14:paraId="48AE18D2" w14:textId="77777777" w:rsidR="002B7F01" w:rsidRDefault="002B7F01" w:rsidP="00B578CD">
            <w:r>
              <w:t>Se NorCRINs definisjoner</w:t>
            </w:r>
          </w:p>
        </w:tc>
        <w:tc>
          <w:tcPr>
            <w:tcW w:w="2240" w:type="dxa"/>
          </w:tcPr>
          <w:p w14:paraId="59FB1691" w14:textId="77777777" w:rsidR="002B7F01" w:rsidRDefault="002B7F01" w:rsidP="00B578CD"/>
        </w:tc>
      </w:tr>
      <w:tr w:rsidR="002B7F01" w:rsidRPr="00B76ADC" w14:paraId="39525259" w14:textId="77777777" w:rsidTr="00B578CD">
        <w:tc>
          <w:tcPr>
            <w:tcW w:w="2099" w:type="dxa"/>
          </w:tcPr>
          <w:p w14:paraId="07B187A3" w14:textId="77777777" w:rsidR="002B7F01" w:rsidRDefault="002B7F01" w:rsidP="00B578CD">
            <w:r>
              <w:t>Tidligfase enhet</w:t>
            </w:r>
          </w:p>
          <w:p w14:paraId="40AD37E7" w14:textId="77777777" w:rsidR="002B7F01" w:rsidRDefault="002B7F01" w:rsidP="00B578CD">
            <w:r>
              <w:t>Fase I enhet</w:t>
            </w:r>
          </w:p>
        </w:tc>
        <w:tc>
          <w:tcPr>
            <w:tcW w:w="1567" w:type="dxa"/>
          </w:tcPr>
          <w:p w14:paraId="504681E4" w14:textId="77777777" w:rsidR="002B7F01" w:rsidRPr="00442267" w:rsidRDefault="002B7F01" w:rsidP="00B578CD">
            <w:pPr>
              <w:rPr>
                <w:lang w:val="en-US"/>
              </w:rPr>
            </w:pPr>
            <w:r>
              <w:rPr>
                <w:lang w:val="en-US"/>
              </w:rPr>
              <w:t>Early P</w:t>
            </w:r>
            <w:r w:rsidRPr="00442267">
              <w:rPr>
                <w:lang w:val="en-US"/>
              </w:rPr>
              <w:t>hase Clinical Trials Unit</w:t>
            </w:r>
          </w:p>
        </w:tc>
        <w:tc>
          <w:tcPr>
            <w:tcW w:w="3154" w:type="dxa"/>
          </w:tcPr>
          <w:p w14:paraId="3BF1F406" w14:textId="77777777" w:rsidR="002B7F01" w:rsidRPr="00442267" w:rsidRDefault="002B7F01" w:rsidP="00B578CD">
            <w:r w:rsidRPr="00442267">
              <w:t>Forskningspost som kan gjøre fase I studier</w:t>
            </w:r>
          </w:p>
        </w:tc>
        <w:tc>
          <w:tcPr>
            <w:tcW w:w="2240" w:type="dxa"/>
          </w:tcPr>
          <w:p w14:paraId="4C2B6F1C" w14:textId="77777777" w:rsidR="002B7F01" w:rsidRPr="001F69B2" w:rsidRDefault="002B7F01" w:rsidP="00B578CD">
            <w:pPr>
              <w:rPr>
                <w:lang w:val="en-US"/>
              </w:rPr>
            </w:pPr>
            <w:proofErr w:type="spellStart"/>
            <w:r w:rsidRPr="001F69B2">
              <w:rPr>
                <w:lang w:val="en-US"/>
              </w:rPr>
              <w:t>Brukt</w:t>
            </w:r>
            <w:proofErr w:type="spellEnd"/>
            <w:r w:rsidRPr="001F69B2">
              <w:rPr>
                <w:lang w:val="en-US"/>
              </w:rPr>
              <w:t xml:space="preserve"> i rapport </w:t>
            </w:r>
            <w:proofErr w:type="spellStart"/>
            <w:r w:rsidRPr="001F69B2">
              <w:rPr>
                <w:lang w:val="en-US"/>
              </w:rPr>
              <w:t>fra</w:t>
            </w:r>
            <w:proofErr w:type="spellEnd"/>
            <w:r w:rsidRPr="001F69B2">
              <w:rPr>
                <w:lang w:val="en-US"/>
              </w:rPr>
              <w:t xml:space="preserve"> AP7: Proposal for requirements at Early Pha</w:t>
            </w:r>
            <w:r>
              <w:rPr>
                <w:lang w:val="en-US"/>
              </w:rPr>
              <w:t>s</w:t>
            </w:r>
            <w:r w:rsidRPr="001F69B2">
              <w:rPr>
                <w:lang w:val="en-US"/>
              </w:rPr>
              <w:t>e Clin</w:t>
            </w:r>
            <w:r>
              <w:rPr>
                <w:lang w:val="en-US"/>
              </w:rPr>
              <w:t>ical Trials Unit in Norway (2018)</w:t>
            </w:r>
          </w:p>
        </w:tc>
      </w:tr>
      <w:tr w:rsidR="002B7F01" w:rsidRPr="00442267" w14:paraId="31ECE570" w14:textId="77777777" w:rsidTr="00B578CD">
        <w:tc>
          <w:tcPr>
            <w:tcW w:w="2099" w:type="dxa"/>
          </w:tcPr>
          <w:p w14:paraId="262DFD9F" w14:textId="77777777" w:rsidR="002B7F01" w:rsidRPr="00923C4C" w:rsidRDefault="002B7F01" w:rsidP="00B578CD">
            <w:pPr>
              <w:rPr>
                <w:lang w:val="en-US"/>
              </w:rPr>
            </w:pPr>
          </w:p>
        </w:tc>
        <w:tc>
          <w:tcPr>
            <w:tcW w:w="1567" w:type="dxa"/>
          </w:tcPr>
          <w:p w14:paraId="4D6775B5" w14:textId="77777777" w:rsidR="002B7F01" w:rsidRDefault="002B7F01" w:rsidP="00B578CD">
            <w:pPr>
              <w:rPr>
                <w:lang w:val="en-US"/>
              </w:rPr>
            </w:pPr>
            <w:r>
              <w:rPr>
                <w:lang w:val="en-US"/>
              </w:rPr>
              <w:t>First in Human</w:t>
            </w:r>
          </w:p>
          <w:p w14:paraId="151B7C65" w14:textId="627AD5E4" w:rsidR="002B7F01" w:rsidRDefault="002B7F01" w:rsidP="00B578CD">
            <w:pPr>
              <w:rPr>
                <w:lang w:val="en-US"/>
              </w:rPr>
            </w:pPr>
          </w:p>
        </w:tc>
        <w:tc>
          <w:tcPr>
            <w:tcW w:w="3154" w:type="dxa"/>
          </w:tcPr>
          <w:p w14:paraId="5A7FE7C9" w14:textId="77777777" w:rsidR="002B7F01" w:rsidRPr="002317CC" w:rsidRDefault="002B7F01" w:rsidP="00B578CD">
            <w:r w:rsidRPr="002317CC">
              <w:t>Forsknin</w:t>
            </w:r>
            <w:r>
              <w:t>g</w:t>
            </w:r>
            <w:r w:rsidRPr="002317CC">
              <w:t>spost s</w:t>
            </w:r>
            <w:r>
              <w:t>om kan gjøre en spesiell type f</w:t>
            </w:r>
            <w:r w:rsidRPr="002317CC">
              <w:t>a</w:t>
            </w:r>
            <w:r>
              <w:t>s</w:t>
            </w:r>
            <w:r w:rsidRPr="002317CC">
              <w:t xml:space="preserve">e </w:t>
            </w:r>
            <w:r>
              <w:t>I studier, dvs. studier der en ny substans/nytt legemiddel prøves ut i mennesker for første gang</w:t>
            </w:r>
          </w:p>
        </w:tc>
        <w:tc>
          <w:tcPr>
            <w:tcW w:w="2240" w:type="dxa"/>
          </w:tcPr>
          <w:p w14:paraId="77EBF397" w14:textId="77777777" w:rsidR="002B7F01" w:rsidRDefault="002B7F01" w:rsidP="00B578CD">
            <w:r>
              <w:t>Brukt i WP7 rapporten. Refererer som hovedregel til legemiddel-studier</w:t>
            </w:r>
          </w:p>
        </w:tc>
      </w:tr>
    </w:tbl>
    <w:p w14:paraId="4B46C9F6" w14:textId="491DE334" w:rsidR="00D268E5" w:rsidRPr="00EC5EF1" w:rsidRDefault="00A462FB" w:rsidP="00821450">
      <w:pPr>
        <w:pStyle w:val="Overskrift1"/>
      </w:pPr>
      <w:bookmarkStart w:id="3" w:name="_Toc192525142"/>
      <w:r w:rsidRPr="00EC5EF1">
        <w:lastRenderedPageBreak/>
        <w:t xml:space="preserve">AP11 </w:t>
      </w:r>
      <w:r w:rsidR="0052705E" w:rsidRPr="00EC5EF1">
        <w:t>Mandat</w:t>
      </w:r>
      <w:bookmarkEnd w:id="3"/>
      <w:r w:rsidR="00F411B5">
        <w:t xml:space="preserve"> </w:t>
      </w:r>
    </w:p>
    <w:p w14:paraId="75BEB9BB" w14:textId="77777777" w:rsidR="00A462FB" w:rsidRDefault="00A462FB" w:rsidP="00821450">
      <w:pPr>
        <w:pStyle w:val="Overskrift2"/>
      </w:pPr>
      <w:bookmarkStart w:id="4" w:name="_Toc192525143"/>
      <w:r>
        <w:t>Mål for arbeidet</w:t>
      </w:r>
      <w:bookmarkEnd w:id="4"/>
    </w:p>
    <w:p w14:paraId="30E83332" w14:textId="31D235E1" w:rsidR="00A462FB" w:rsidRDefault="00A462FB" w:rsidP="00821450">
      <w:r>
        <w:t xml:space="preserve">Det overordnede målet for AP11 er </w:t>
      </w:r>
      <w:r w:rsidR="00AE0C03">
        <w:t>å bidra til</w:t>
      </w:r>
      <w:r w:rsidR="00AD3F5E">
        <w:t xml:space="preserve"> </w:t>
      </w:r>
      <w:r w:rsidR="00AE0C03">
        <w:t xml:space="preserve">å </w:t>
      </w:r>
      <w:r>
        <w:t>øke antallet og kvaliteten i kliniske studier i Norge, og styrke forskningssamarbeid nasjonalt og internasjonalt.</w:t>
      </w:r>
    </w:p>
    <w:p w14:paraId="5700CD2B" w14:textId="3180D24B" w:rsidR="00A462FB" w:rsidRDefault="00A462FB" w:rsidP="00821450">
      <w:r w:rsidRPr="0005494A">
        <w:br/>
      </w:r>
      <w:r>
        <w:t>AP11s operative mål er å gi et nasjonalt løft til sykehus/klinikker på alle nivåer, slik at vi samlet øker kapasiteten til å gjennomføre kliniske studier. Det tas sikte på å kunne bidra til videre utvikling av ulike enheter</w:t>
      </w:r>
      <w:r w:rsidR="00ED60FD">
        <w:t xml:space="preserve"> i forskningsstøtte</w:t>
      </w:r>
      <w:r>
        <w:t>, uavhengig av dagens organisering/erfaring/kapasitet.</w:t>
      </w:r>
    </w:p>
    <w:p w14:paraId="36106847" w14:textId="77777777" w:rsidR="002317CC" w:rsidRDefault="002317CC" w:rsidP="00821450"/>
    <w:p w14:paraId="54CBD9D0" w14:textId="77777777" w:rsidR="00A462FB" w:rsidRDefault="00A462FB" w:rsidP="00821450">
      <w:pPr>
        <w:pStyle w:val="Overskrift2"/>
      </w:pPr>
      <w:bookmarkStart w:id="5" w:name="_Toc192525144"/>
      <w:r>
        <w:t>Leveranse</w:t>
      </w:r>
      <w:bookmarkEnd w:id="5"/>
    </w:p>
    <w:p w14:paraId="2B6FEFAF" w14:textId="77777777" w:rsidR="0052705E" w:rsidRDefault="0052705E" w:rsidP="00821450">
      <w:r>
        <w:t>AP11</w:t>
      </w:r>
      <w:r w:rsidRPr="0024622F">
        <w:t xml:space="preserve"> skal </w:t>
      </w:r>
      <w:r>
        <w:t xml:space="preserve">foreslå en nasjonal anbefaling/standard/kompetansekrav til ulike typer tjenester, roller og enheter (f.eks. forskningsposter, forskningsstøtte-enheter og andre typer enheter) som vil være en del av </w:t>
      </w:r>
      <w:r w:rsidRPr="00ED0CC4">
        <w:rPr>
          <w:i/>
        </w:rPr>
        <w:t>infrastrukturen</w:t>
      </w:r>
      <w:r>
        <w:rPr>
          <w:i/>
        </w:rPr>
        <w:t xml:space="preserve"> for klinisk forskning</w:t>
      </w:r>
      <w:r>
        <w:t xml:space="preserve"> som bidrar til kliniske studier. Det vil også være naturlig å se på nettverksstrukturer som sikrer koordinering av og samarbeid mellom slike enheter.</w:t>
      </w:r>
    </w:p>
    <w:p w14:paraId="1A5408F9" w14:textId="0811CC31" w:rsidR="0052705E" w:rsidRPr="00942BB1" w:rsidRDefault="0052705E" w:rsidP="00821450">
      <w:r>
        <w:t>Standardisering er et vesentlig mål for AP11. Standardisering sikrer forutsigbarhet og reduserer transaksjonskostnader mellom samarbeidende enheter.</w:t>
      </w:r>
      <w:r w:rsidR="00B20FE0">
        <w:t xml:space="preserve"> </w:t>
      </w:r>
      <w:r>
        <w:t xml:space="preserve">Det vil bli vurdert om det skal </w:t>
      </w:r>
      <w:r w:rsidRPr="00942BB1">
        <w:t xml:space="preserve">utarbeides en formell </w:t>
      </w:r>
      <w:r>
        <w:t xml:space="preserve">nasjonal </w:t>
      </w:r>
      <w:r w:rsidRPr="00942BB1">
        <w:t>sertifisering</w:t>
      </w:r>
      <w:r>
        <w:t>/akkreditering</w:t>
      </w:r>
      <w:r w:rsidRPr="00942BB1">
        <w:t xml:space="preserve">. </w:t>
      </w:r>
    </w:p>
    <w:p w14:paraId="168AA32E" w14:textId="0C0ECCD7" w:rsidR="0052705E" w:rsidRDefault="0052705E" w:rsidP="00821450">
      <w:r>
        <w:t xml:space="preserve">Det skal gis </w:t>
      </w:r>
      <w:r w:rsidRPr="00942BB1">
        <w:t xml:space="preserve">veiledning og rådgivning til partnere og andre sykehus som vil utvikle egne </w:t>
      </w:r>
      <w:r>
        <w:t>tjenester/</w:t>
      </w:r>
      <w:r w:rsidRPr="00942BB1">
        <w:t xml:space="preserve">enheter, basert på </w:t>
      </w:r>
      <w:r>
        <w:t>resultater fra kartleggingene og anbefalingene fra AP11.</w:t>
      </w:r>
    </w:p>
    <w:p w14:paraId="2ED5125F" w14:textId="77777777" w:rsidR="002317CC" w:rsidRDefault="002317CC" w:rsidP="00821450"/>
    <w:p w14:paraId="5FA2DDF2" w14:textId="77777777" w:rsidR="00A462FB" w:rsidRDefault="00A462FB" w:rsidP="00821450">
      <w:pPr>
        <w:pStyle w:val="Overskrift2"/>
      </w:pPr>
      <w:bookmarkStart w:id="6" w:name="_Toc192525145"/>
      <w:r>
        <w:t>Fokus for AP11</w:t>
      </w:r>
      <w:bookmarkEnd w:id="6"/>
    </w:p>
    <w:p w14:paraId="06297CA3" w14:textId="08CE002E" w:rsidR="00A462FB" w:rsidRDefault="00BE3E28" w:rsidP="00821450">
      <w:r>
        <w:t>Fra mandatet til AP11: «</w:t>
      </w:r>
      <w:r w:rsidR="00A462FB">
        <w:t>Med kliniske studier forstår vi REK-p</w:t>
      </w:r>
      <w:r w:rsidR="00AE0C03">
        <w:t>liktige</w:t>
      </w:r>
      <w:r w:rsidR="00A911A6">
        <w:t xml:space="preserve"> studier</w:t>
      </w:r>
      <w:r w:rsidR="00AE0C03">
        <w:t xml:space="preserve"> </w:t>
      </w:r>
      <w:r w:rsidR="00A911A6">
        <w:t>(</w:t>
      </w:r>
      <w:r w:rsidR="006951EE">
        <w:t xml:space="preserve">skal godkjennes av </w:t>
      </w:r>
      <w:r w:rsidR="00A911A6">
        <w:t>Regionale komiteer for medisinsk og helsefaglig forskningsetikk)</w:t>
      </w:r>
      <w:r w:rsidR="00AE0C03">
        <w:t xml:space="preserve"> definert som:</w:t>
      </w:r>
    </w:p>
    <w:p w14:paraId="519BBE53" w14:textId="77777777" w:rsidR="00F83BA1" w:rsidRDefault="00A462FB" w:rsidP="00C918B6">
      <w:pPr>
        <w:ind w:left="708"/>
      </w:pPr>
      <w:r w:rsidRPr="00834312">
        <w:t>Det finnes to typer kliniske studier, kliniske observasjonsstudier og kliniske utprøvingsstudier (</w:t>
      </w:r>
      <w:proofErr w:type="spellStart"/>
      <w:r w:rsidRPr="00834312">
        <w:t>clinical</w:t>
      </w:r>
      <w:proofErr w:type="spellEnd"/>
      <w:r w:rsidRPr="00834312">
        <w:t xml:space="preserve"> trials) og kombinasjoner av disse. </w:t>
      </w:r>
    </w:p>
    <w:p w14:paraId="3EA7F023" w14:textId="4C7C3C92" w:rsidR="00441155" w:rsidRDefault="00A462FB" w:rsidP="005634B6">
      <w:r w:rsidRPr="00834312">
        <w:t xml:space="preserve">I NorCRIN </w:t>
      </w:r>
      <w:r w:rsidR="00DA7133">
        <w:t xml:space="preserve">og AP11 </w:t>
      </w:r>
      <w:r w:rsidRPr="00834312">
        <w:t>fokusere</w:t>
      </w:r>
      <w:r w:rsidR="00DA7133">
        <w:t>r vi i</w:t>
      </w:r>
      <w:r w:rsidRPr="00834312">
        <w:t xml:space="preserve"> hovedsak på kliniske utprøvingsstudier</w:t>
      </w:r>
      <w:r w:rsidR="00A911A6">
        <w:t>:</w:t>
      </w:r>
      <w:r w:rsidRPr="00834312">
        <w:t xml:space="preserve"> </w:t>
      </w:r>
    </w:p>
    <w:p w14:paraId="74827F7B" w14:textId="107A4B50" w:rsidR="00A462FB" w:rsidRPr="00A462FB" w:rsidRDefault="00A462FB" w:rsidP="00C918B6">
      <w:pPr>
        <w:ind w:left="708"/>
      </w:pPr>
      <w:r w:rsidRPr="00834312">
        <w:t>Kliniske utprøvingsstudier er studier på mennesker med hovedmål å evaluere sikkerhet og effekt av farmakologiske og ikke-farmakologiske intervensjoner til bruk som forebygging, behandling, diagnostikk eller for å lindre symptomer på en sykdom.</w:t>
      </w:r>
    </w:p>
    <w:p w14:paraId="4D618094" w14:textId="6BC9E781" w:rsidR="00A462FB" w:rsidRDefault="00A462FB" w:rsidP="00821450">
      <w:r w:rsidRPr="009D09CE">
        <w:t xml:space="preserve">Fokus </w:t>
      </w:r>
      <w:r w:rsidR="00F53892">
        <w:t xml:space="preserve">for </w:t>
      </w:r>
      <w:r w:rsidR="00425819">
        <w:t>denne rapporten</w:t>
      </w:r>
      <w:r w:rsidR="00F53892">
        <w:t xml:space="preserve"> </w:t>
      </w:r>
      <w:r w:rsidRPr="009D09CE">
        <w:t xml:space="preserve">er på enheter som inngår i </w:t>
      </w:r>
      <w:r w:rsidRPr="00ED0CC4">
        <w:rPr>
          <w:i/>
        </w:rPr>
        <w:t xml:space="preserve">infrastruktur </w:t>
      </w:r>
      <w:r w:rsidRPr="009D09CE">
        <w:t xml:space="preserve">for forskningsstøtte. </w:t>
      </w:r>
      <w:r>
        <w:t xml:space="preserve">Vi sikter da til enheter som yter tjenester </w:t>
      </w:r>
      <w:r w:rsidR="00965D87">
        <w:t xml:space="preserve">i forbindelse med </w:t>
      </w:r>
      <w:r>
        <w:t>kliniske studier der et HF</w:t>
      </w:r>
      <w:r w:rsidR="001E302B">
        <w:t xml:space="preserve"> eller et</w:t>
      </w:r>
      <w:r w:rsidR="00A94FA3">
        <w:t xml:space="preserve"> </w:t>
      </w:r>
      <w:r>
        <w:t xml:space="preserve">sykehus er sponsor, </w:t>
      </w:r>
      <w:r w:rsidR="00DA48E2">
        <w:t>alt</w:t>
      </w:r>
      <w:r>
        <w:t xml:space="preserve"> fra de som </w:t>
      </w:r>
      <w:r w:rsidR="00B27533">
        <w:t xml:space="preserve">kun </w:t>
      </w:r>
      <w:r>
        <w:t>yter operativ støtte (</w:t>
      </w:r>
      <w:r w:rsidR="00ED60FD">
        <w:t xml:space="preserve">administrativ </w:t>
      </w:r>
      <w:r>
        <w:t xml:space="preserve">forskningsstøtte) til enheter som møter pasienter. Kriteriet for å være en del av en slik infrastruktur er </w:t>
      </w:r>
    </w:p>
    <w:p w14:paraId="308E8C8D" w14:textId="5BC0411E" w:rsidR="00A462FB" w:rsidRDefault="00A462FB" w:rsidP="00783F48">
      <w:pPr>
        <w:pStyle w:val="Listeavsnitt"/>
        <w:numPr>
          <w:ilvl w:val="0"/>
          <w:numId w:val="10"/>
        </w:numPr>
      </w:pPr>
      <w:r w:rsidRPr="009B51EA">
        <w:t>at man har varige (</w:t>
      </w:r>
      <w:proofErr w:type="gramStart"/>
      <w:r w:rsidRPr="009B51EA">
        <w:t>robust</w:t>
      </w:r>
      <w:proofErr w:type="gramEnd"/>
      <w:r w:rsidRPr="009B51EA">
        <w:t xml:space="preserve">, over kritisk masse) ressurser </w:t>
      </w:r>
      <w:r>
        <w:t xml:space="preserve">(også arealer, andre fasiliteter) </w:t>
      </w:r>
      <w:r w:rsidRPr="009B51EA">
        <w:t>til hjelp for flere prosjekter.</w:t>
      </w:r>
      <w:r>
        <w:t xml:space="preserve"> Varig må bety at man har faste stillinger som bidrar i infrastrukturen</w:t>
      </w:r>
      <w:r w:rsidRPr="009B51EA">
        <w:t xml:space="preserve"> </w:t>
      </w:r>
    </w:p>
    <w:p w14:paraId="67B2CE71" w14:textId="0B52A240" w:rsidR="00A462FB" w:rsidRPr="009B51EA" w:rsidRDefault="00A462FB" w:rsidP="00783F48">
      <w:pPr>
        <w:pStyle w:val="Listeavsnitt"/>
        <w:numPr>
          <w:ilvl w:val="0"/>
          <w:numId w:val="10"/>
        </w:numPr>
      </w:pPr>
      <w:r>
        <w:t xml:space="preserve">(som hovedregel at) </w:t>
      </w:r>
      <w:r w:rsidRPr="009B51EA">
        <w:t>at HF</w:t>
      </w:r>
      <w:r>
        <w:t>/institusjon</w:t>
      </w:r>
      <w:r w:rsidRPr="009B51EA">
        <w:t xml:space="preserve"> definerer enheten som infrastruktur</w:t>
      </w:r>
    </w:p>
    <w:p w14:paraId="51A6C15B" w14:textId="77777777" w:rsidR="00A462FB" w:rsidRPr="009D09CE" w:rsidRDefault="00A462FB" w:rsidP="00821450"/>
    <w:p w14:paraId="1B97E799" w14:textId="383257D5" w:rsidR="00A462FB" w:rsidRPr="009D09CE" w:rsidRDefault="00A462FB" w:rsidP="00821450">
      <w:r w:rsidRPr="009D09CE">
        <w:t xml:space="preserve">Nettverk som </w:t>
      </w:r>
      <w:r>
        <w:t>koordinerer slike enheter på tvers av HF</w:t>
      </w:r>
      <w:r w:rsidR="002862B0">
        <w:t xml:space="preserve"> og sykehus</w:t>
      </w:r>
      <w:r>
        <w:t xml:space="preserve"> vil være innenfor AP11 sitt mandat</w:t>
      </w:r>
      <w:r w:rsidR="00A77E79">
        <w:t xml:space="preserve"> å beskrive</w:t>
      </w:r>
      <w:r>
        <w:t xml:space="preserve">. Vi vil </w:t>
      </w:r>
      <w:proofErr w:type="spellStart"/>
      <w:r w:rsidR="003C1DDA">
        <w:t>bl.a</w:t>
      </w:r>
      <w:proofErr w:type="spellEnd"/>
      <w:r w:rsidR="003C1DDA">
        <w:t xml:space="preserve"> </w:t>
      </w:r>
      <w:r>
        <w:t>se på rollen til NorCRINs sekretariat</w:t>
      </w:r>
      <w:r w:rsidR="00A9484B">
        <w:t xml:space="preserve"> </w:t>
      </w:r>
      <w:r>
        <w:t>og om en type «Én vei inn» for ulike typer studier er øns</w:t>
      </w:r>
      <w:r w:rsidR="00CF48E6">
        <w:t>kelig. (Ref</w:t>
      </w:r>
      <w:r w:rsidR="00935540">
        <w:t>.</w:t>
      </w:r>
      <w:r w:rsidR="00CF48E6">
        <w:t xml:space="preserve"> AP4 i NorCRIN1 og </w:t>
      </w:r>
      <w:r>
        <w:t>AP12 i NorCRIN2).</w:t>
      </w:r>
      <w:r w:rsidR="00BE3E28">
        <w:t>»</w:t>
      </w:r>
    </w:p>
    <w:p w14:paraId="6ACCC093" w14:textId="02972D53" w:rsidR="00A462FB" w:rsidRPr="009D09CE" w:rsidRDefault="00442A41" w:rsidP="00821450">
      <w:r>
        <w:t xml:space="preserve">Rapporten </w:t>
      </w:r>
      <w:r w:rsidR="00A462FB">
        <w:t>fokusere</w:t>
      </w:r>
      <w:r w:rsidR="006B1485">
        <w:t xml:space="preserve">r </w:t>
      </w:r>
      <w:r w:rsidR="008766F8">
        <w:t>hovedsakelig</w:t>
      </w:r>
      <w:r w:rsidR="00A462FB">
        <w:t xml:space="preserve"> på forskning i </w:t>
      </w:r>
      <w:r w:rsidR="00CF48E6">
        <w:t>s</w:t>
      </w:r>
      <w:r w:rsidR="00A462FB" w:rsidRPr="009D09CE">
        <w:t>pesialisthelsetjenesten</w:t>
      </w:r>
      <w:r w:rsidR="00A462FB">
        <w:t xml:space="preserve">, men </w:t>
      </w:r>
      <w:r w:rsidR="008766F8">
        <w:t>nevner også</w:t>
      </w:r>
      <w:r w:rsidR="00A462FB">
        <w:t xml:space="preserve"> forskning i primærhelsetjenesten</w:t>
      </w:r>
      <w:r w:rsidR="008766F8">
        <w:t>, s</w:t>
      </w:r>
      <w:r w:rsidR="00F967EE">
        <w:t>e mer i kap. 6.5</w:t>
      </w:r>
      <w:r w:rsidR="0054138D">
        <w:t xml:space="preserve">. </w:t>
      </w:r>
      <w:r w:rsidR="00A462FB">
        <w:t xml:space="preserve">Vi vil kunne se på mulige samarbeid med </w:t>
      </w:r>
      <w:hyperlink r:id="rId11" w:history="1">
        <w:r w:rsidR="00A462FB" w:rsidRPr="00A71723">
          <w:rPr>
            <w:rStyle w:val="Hyperkobling"/>
          </w:rPr>
          <w:t>Praksisnett.</w:t>
        </w:r>
      </w:hyperlink>
      <w:r w:rsidR="00967DAA">
        <w:t xml:space="preserve">(Kilde: </w:t>
      </w:r>
      <w:hyperlink r:id="rId12" w:history="1">
        <w:r w:rsidR="00967DAA" w:rsidRPr="00AC697C">
          <w:rPr>
            <w:rStyle w:val="Hyperkobling"/>
          </w:rPr>
          <w:t>https://www.uib.no/praksisnett</w:t>
        </w:r>
      </w:hyperlink>
      <w:r w:rsidR="00967DAA">
        <w:t>, besøkt 15. mars 2024)</w:t>
      </w:r>
    </w:p>
    <w:p w14:paraId="6BEF13B5" w14:textId="5E9156C5" w:rsidR="00A462FB" w:rsidRDefault="00442A41" w:rsidP="00821450">
      <w:r>
        <w:t xml:space="preserve">Rapporten </w:t>
      </w:r>
      <w:r w:rsidR="00C25934">
        <w:t xml:space="preserve">ser </w:t>
      </w:r>
      <w:r w:rsidR="00A462FB">
        <w:t xml:space="preserve">primært på enheter som tilhører et HF/sykehus og driver forskning i regi av et HF/sykehus (akademiske studier), men vil kartlegge slike enheters aktivitet knyttet til industristudier og registerforskning. </w:t>
      </w:r>
    </w:p>
    <w:p w14:paraId="4DD40A7A" w14:textId="255BFE24" w:rsidR="00A462FB" w:rsidRDefault="00A462FB" w:rsidP="00821450">
      <w:r w:rsidRPr="009D09CE">
        <w:t>Enheter som jobber kun m</w:t>
      </w:r>
      <w:r>
        <w:t>ed</w:t>
      </w:r>
      <w:r w:rsidR="00CF48E6">
        <w:t xml:space="preserve"> m</w:t>
      </w:r>
      <w:r w:rsidRPr="009D09CE">
        <w:t>edisinsk utstyr</w:t>
      </w:r>
      <w:r w:rsidR="00C25934">
        <w:t xml:space="preserve"> (MU)</w:t>
      </w:r>
      <w:r>
        <w:t>, men gjennomfører kliniske studier, faller innenfor AP11 sitt mandat.</w:t>
      </w:r>
      <w:r w:rsidRPr="009D09CE">
        <w:t xml:space="preserve"> </w:t>
      </w:r>
    </w:p>
    <w:p w14:paraId="5AA2D0BF" w14:textId="77777777" w:rsidR="00A462FB" w:rsidRPr="00942BB1" w:rsidRDefault="00A462FB" w:rsidP="00821450"/>
    <w:p w14:paraId="332F14D7" w14:textId="17A4AEB7" w:rsidR="0052705E" w:rsidRDefault="00F05CB6" w:rsidP="00821450">
      <w:pPr>
        <w:pStyle w:val="Overskrift2"/>
        <w:rPr>
          <w:szCs w:val="22"/>
        </w:rPr>
      </w:pPr>
      <w:bookmarkStart w:id="7" w:name="_Toc192525146"/>
      <w:r>
        <w:t xml:space="preserve">Samarbeid </w:t>
      </w:r>
      <w:r w:rsidR="00207922">
        <w:t>underveis i prosjektet</w:t>
      </w:r>
      <w:bookmarkEnd w:id="7"/>
    </w:p>
    <w:p w14:paraId="087ABA78" w14:textId="77696795" w:rsidR="0052705E" w:rsidRDefault="0052705E" w:rsidP="00821450">
      <w:r>
        <w:t>AP</w:t>
      </w:r>
      <w:r w:rsidRPr="00942BB1">
        <w:t>1</w:t>
      </w:r>
      <w:r>
        <w:t xml:space="preserve">1 </w:t>
      </w:r>
      <w:r w:rsidR="00ED60FD">
        <w:t xml:space="preserve">har samarbeidet med </w:t>
      </w:r>
      <w:r w:rsidR="002317CC">
        <w:t>NorCRINs europeiske korrespondent (</w:t>
      </w:r>
      <w:proofErr w:type="spellStart"/>
      <w:r w:rsidR="00ED60FD">
        <w:t>EuCo</w:t>
      </w:r>
      <w:proofErr w:type="spellEnd"/>
      <w:r w:rsidR="002317CC">
        <w:t>)</w:t>
      </w:r>
      <w:r w:rsidR="00ED60FD">
        <w:t>,</w:t>
      </w:r>
      <w:r w:rsidR="002141E4">
        <w:t xml:space="preserve"> </w:t>
      </w:r>
      <w:r w:rsidRPr="00942BB1">
        <w:t>sekretariatet</w:t>
      </w:r>
      <w:r>
        <w:t xml:space="preserve"> i NorCRIN</w:t>
      </w:r>
      <w:r w:rsidR="00ED60FD">
        <w:t>, og NorT</w:t>
      </w:r>
      <w:r w:rsidR="00092FD6">
        <w:t>rials</w:t>
      </w:r>
      <w:r w:rsidR="00ED60FD">
        <w:t xml:space="preserve">, </w:t>
      </w:r>
      <w:r w:rsidRPr="00942BB1">
        <w:t xml:space="preserve">for å identifisere relevante </w:t>
      </w:r>
      <w:r w:rsidR="00C74239">
        <w:t xml:space="preserve">internasjonale </w:t>
      </w:r>
      <w:r w:rsidRPr="00942BB1">
        <w:t xml:space="preserve">nettverk. Vi </w:t>
      </w:r>
      <w:r w:rsidR="00ED60FD">
        <w:t xml:space="preserve">har i </w:t>
      </w:r>
      <w:r w:rsidR="00827F58">
        <w:t xml:space="preserve">denne versjonen i </w:t>
      </w:r>
      <w:r w:rsidR="00ED60FD">
        <w:t xml:space="preserve">mindre grad </w:t>
      </w:r>
      <w:r w:rsidRPr="00942BB1">
        <w:t>se</w:t>
      </w:r>
      <w:r w:rsidR="00ED60FD">
        <w:t>tt</w:t>
      </w:r>
      <w:r w:rsidRPr="00942BB1">
        <w:t xml:space="preserve"> på hva</w:t>
      </w:r>
      <w:r>
        <w:t xml:space="preserve"> andre arbeidspakker</w:t>
      </w:r>
      <w:r w:rsidR="005278C9">
        <w:t xml:space="preserve"> i NorCRIN</w:t>
      </w:r>
      <w:r w:rsidR="002141E4">
        <w:t>,</w:t>
      </w:r>
      <w:r>
        <w:t xml:space="preserve"> </w:t>
      </w:r>
      <w:r w:rsidR="00ED60FD">
        <w:t>f.eks. AP4 og AP12</w:t>
      </w:r>
      <w:r w:rsidR="002141E4">
        <w:t>,</w:t>
      </w:r>
      <w:r w:rsidR="00ED60FD">
        <w:t xml:space="preserve"> </w:t>
      </w:r>
      <w:r w:rsidRPr="00942BB1">
        <w:t xml:space="preserve">har </w:t>
      </w:r>
      <w:r w:rsidR="00B55CCB">
        <w:t>gjort</w:t>
      </w:r>
      <w:r w:rsidR="00ED60FD">
        <w:t xml:space="preserve">. Vi refererer til </w:t>
      </w:r>
      <w:r w:rsidR="00DE57E0">
        <w:t xml:space="preserve">tidligere </w:t>
      </w:r>
      <w:r w:rsidR="00ED60FD">
        <w:t>arbeid gjort a</w:t>
      </w:r>
      <w:r w:rsidR="002317CC">
        <w:t>v AP7 i NorCRIN1, om tidligfase-</w:t>
      </w:r>
      <w:r w:rsidR="00ED60FD">
        <w:t>enheter,</w:t>
      </w:r>
      <w:r w:rsidR="007500C6">
        <w:t xml:space="preserve"> </w:t>
      </w:r>
      <w:r w:rsidR="00ED60FD">
        <w:t>men har ikke hatt direkte kontakt med AP7.</w:t>
      </w:r>
    </w:p>
    <w:p w14:paraId="0E13933F" w14:textId="2E694E94" w:rsidR="0052705E" w:rsidRDefault="0052705E" w:rsidP="00821450">
      <w:r>
        <w:t xml:space="preserve">AP11 </w:t>
      </w:r>
      <w:r w:rsidR="007500C6">
        <w:t xml:space="preserve">har </w:t>
      </w:r>
      <w:r>
        <w:t>i størst mulig grad involver</w:t>
      </w:r>
      <w:r w:rsidR="007500C6">
        <w:t>t</w:t>
      </w:r>
      <w:r>
        <w:t xml:space="preserve"> andre HF enn partnerne i </w:t>
      </w:r>
      <w:r w:rsidR="00632ADE">
        <w:t>NorCRIN (de seks universitetssykehusene)</w:t>
      </w:r>
      <w:r w:rsidR="002141E4">
        <w:t>, og sendte den innledende kartleggingen om forskningsstøtte i Norge til 27 ulike HF og sykehus</w:t>
      </w:r>
      <w:r w:rsidR="00AD3F5E">
        <w:t xml:space="preserve"> våren 202</w:t>
      </w:r>
      <w:r w:rsidR="0032556A">
        <w:t>1</w:t>
      </w:r>
      <w:r>
        <w:t>.</w:t>
      </w:r>
      <w:r w:rsidR="00AD3F5E">
        <w:t xml:space="preserve"> </w:t>
      </w:r>
      <w:bookmarkStart w:id="8" w:name="_Hlk194305180"/>
      <w:r w:rsidR="00AD3F5E">
        <w:t>Kartleggingen ble revidert gjennom</w:t>
      </w:r>
      <w:r w:rsidR="0032556A">
        <w:t xml:space="preserve"> </w:t>
      </w:r>
      <w:r w:rsidR="00AD3F5E">
        <w:t>en runde med innspill fra de samme aktørene våren 2023</w:t>
      </w:r>
      <w:r w:rsidR="0032556A">
        <w:t>.</w:t>
      </w:r>
      <w:r>
        <w:t xml:space="preserve"> </w:t>
      </w:r>
    </w:p>
    <w:bookmarkEnd w:id="8"/>
    <w:p w14:paraId="49D1A4A4" w14:textId="77777777" w:rsidR="0052705E" w:rsidRDefault="0052705E" w:rsidP="00821450"/>
    <w:p w14:paraId="0AA5F38F" w14:textId="77777777" w:rsidR="0052705E" w:rsidRDefault="00253578" w:rsidP="00821450">
      <w:pPr>
        <w:pStyle w:val="Overskrift1"/>
      </w:pPr>
      <w:bookmarkStart w:id="9" w:name="_Toc192525147"/>
      <w:r>
        <w:t xml:space="preserve">Kliniske studier - </w:t>
      </w:r>
      <w:r w:rsidR="00EC5EF1">
        <w:t>t</w:t>
      </w:r>
      <w:r w:rsidR="0052705E">
        <w:t>render</w:t>
      </w:r>
      <w:bookmarkEnd w:id="9"/>
    </w:p>
    <w:p w14:paraId="1B7D6F79" w14:textId="24F5DBF7" w:rsidR="0052705E" w:rsidRDefault="0052705E" w:rsidP="00821450">
      <w:r>
        <w:t>Ved oppstart av AP11</w:t>
      </w:r>
      <w:r w:rsidR="00416E35">
        <w:t xml:space="preserve"> (i 2019)</w:t>
      </w:r>
      <w:r>
        <w:t xml:space="preserve"> så vi for oss følgende</w:t>
      </w:r>
      <w:r w:rsidR="00F05CB6">
        <w:t xml:space="preserve"> trender</w:t>
      </w:r>
      <w:r w:rsidR="00321AFA">
        <w:t>:</w:t>
      </w:r>
    </w:p>
    <w:p w14:paraId="362A231D" w14:textId="77777777" w:rsidR="0052705E" w:rsidRDefault="0052705E" w:rsidP="00783F48">
      <w:pPr>
        <w:pStyle w:val="Listeavsnitt"/>
        <w:numPr>
          <w:ilvl w:val="0"/>
          <w:numId w:val="9"/>
        </w:numPr>
      </w:pPr>
      <w:r>
        <w:t>Skillet mellom (rutine/etablert) behandling av pasienter og forskning vil bli mindre i klinikkene.</w:t>
      </w:r>
    </w:p>
    <w:p w14:paraId="0991E52F" w14:textId="6B212100" w:rsidR="0052705E" w:rsidRDefault="0052705E" w:rsidP="00783F48">
      <w:pPr>
        <w:pStyle w:val="Listeavsnitt"/>
        <w:numPr>
          <w:ilvl w:val="0"/>
          <w:numId w:val="9"/>
        </w:numPr>
      </w:pPr>
      <w:r>
        <w:t xml:space="preserve">Skillet mellom prospektive randomiserte studier som har egen database, og registerforskning, vil bli </w:t>
      </w:r>
      <w:r w:rsidR="00804552">
        <w:t>mindre</w:t>
      </w:r>
      <w:r>
        <w:t>. Vi vil se fremvekst av intervensjonsstudier (inkl. randomisering) som bruker registre og biobanker som sin datakilde, og vi vil se en økende integrasjon mellom strukturerte journalsystemer, digitale data fra lab eller radiologi, og databasen satt opp for en prospektiv klinisk studie.</w:t>
      </w:r>
    </w:p>
    <w:p w14:paraId="3D11E0CA" w14:textId="32CB5C44" w:rsidR="0052705E" w:rsidRDefault="0052705E" w:rsidP="00783F48">
      <w:pPr>
        <w:pStyle w:val="Listeavsnitt"/>
        <w:numPr>
          <w:ilvl w:val="0"/>
          <w:numId w:val="9"/>
        </w:numPr>
      </w:pPr>
      <w:r>
        <w:t xml:space="preserve">Vi vil se en økende digitalisering av prosessen med å innhente data til forskning, </w:t>
      </w:r>
      <w:proofErr w:type="spellStart"/>
      <w:r>
        <w:t>jfr</w:t>
      </w:r>
      <w:proofErr w:type="spellEnd"/>
      <w:r>
        <w:t xml:space="preserve"> pkt.2, og det samme vil skje rundt administrasjon og støttefunksjoner i forskning (avtaleinngåelse, systemer for planlegging og oppfølging av studiene</w:t>
      </w:r>
      <w:r w:rsidR="00C57230">
        <w:t>s</w:t>
      </w:r>
      <w:r>
        <w:t xml:space="preserve"> pasientbesøk, logistikk m lab-prøver og -resultater,</w:t>
      </w:r>
      <w:r w:rsidR="00AA2361">
        <w:t xml:space="preserve"> arkivløsninger for Trial Master File og </w:t>
      </w:r>
      <w:proofErr w:type="spellStart"/>
      <w:r w:rsidR="00AA2361">
        <w:t>Investigator</w:t>
      </w:r>
      <w:proofErr w:type="spellEnd"/>
      <w:r w:rsidR="00AA2361">
        <w:t xml:space="preserve"> Site File,</w:t>
      </w:r>
      <w:r>
        <w:t xml:space="preserve"> osv</w:t>
      </w:r>
      <w:r w:rsidR="007A43AB">
        <w:t>.</w:t>
      </w:r>
      <w:r>
        <w:t xml:space="preserve">), </w:t>
      </w:r>
      <w:r w:rsidR="00321AFA">
        <w:t xml:space="preserve">og </w:t>
      </w:r>
      <w:r w:rsidR="006F3B4C">
        <w:t xml:space="preserve">for </w:t>
      </w:r>
      <w:r>
        <w:t>prosjektstyring (fremdriftsplaner for ulike studier, allokering av studiekoordinatorer, datoer for låsing av database, publikasjon, osv.)</w:t>
      </w:r>
    </w:p>
    <w:p w14:paraId="71E97F5E" w14:textId="563EFD32" w:rsidR="0052705E" w:rsidRDefault="002317CC" w:rsidP="00821450">
      <w:r>
        <w:lastRenderedPageBreak/>
        <w:t>Vi har i noen grad</w:t>
      </w:r>
      <w:r w:rsidR="00FD1886">
        <w:t xml:space="preserve"> kommentert</w:t>
      </w:r>
      <w:r w:rsidR="00321AFA">
        <w:t xml:space="preserve"> disse trendene</w:t>
      </w:r>
      <w:r w:rsidR="00F1147A">
        <w:t xml:space="preserve"> i våre anbefalinger</w:t>
      </w:r>
      <w:r w:rsidR="00321AFA">
        <w:t xml:space="preserve">, men ser likevel at </w:t>
      </w:r>
      <w:r w:rsidR="00A8246A">
        <w:t xml:space="preserve">denne </w:t>
      </w:r>
      <w:r w:rsidR="00D44551">
        <w:t xml:space="preserve">delrapporten </w:t>
      </w:r>
      <w:r w:rsidR="00321AFA">
        <w:t>er nokså «her og nå» orientert. Vi vil vurdere å styrke fremtidsperspektivet i senere oppdateringer.</w:t>
      </w:r>
    </w:p>
    <w:p w14:paraId="205F6E23" w14:textId="77777777" w:rsidR="0056311E" w:rsidRDefault="0056311E" w:rsidP="00821450"/>
    <w:p w14:paraId="083C3AA2" w14:textId="1CD5C723" w:rsidR="00083814" w:rsidRPr="00083814" w:rsidRDefault="002141E4" w:rsidP="00083814">
      <w:pPr>
        <w:pStyle w:val="Overskrift1"/>
      </w:pPr>
      <w:bookmarkStart w:id="10" w:name="_Toc192525148"/>
      <w:r>
        <w:t>Utvikling av anbefalingene</w:t>
      </w:r>
      <w:bookmarkEnd w:id="10"/>
    </w:p>
    <w:p w14:paraId="3E98F3CA" w14:textId="6AA872A7" w:rsidR="00083814" w:rsidRDefault="006C4A83" w:rsidP="00821450">
      <w:bookmarkStart w:id="11" w:name="_Hlk192524571"/>
      <w:r>
        <w:t>AP11</w:t>
      </w:r>
      <w:r w:rsidR="00154A12">
        <w:t xml:space="preserve"> ser</w:t>
      </w:r>
      <w:r w:rsidR="00A70962">
        <w:t xml:space="preserve"> </w:t>
      </w:r>
      <w:r w:rsidR="00083814">
        <w:t xml:space="preserve">behov for en løpende oppdatering av anbefalingene </w:t>
      </w:r>
      <w:r w:rsidR="008F6F4F">
        <w:t>utarbeidet i</w:t>
      </w:r>
      <w:r w:rsidR="00D44551">
        <w:t xml:space="preserve"> denne prosjektperioden</w:t>
      </w:r>
      <w:r w:rsidR="00083814">
        <w:t>. AP11 komme</w:t>
      </w:r>
      <w:r w:rsidR="009811C9">
        <w:t>r</w:t>
      </w:r>
      <w:r w:rsidR="00083814">
        <w:t xml:space="preserve"> med </w:t>
      </w:r>
      <w:r w:rsidR="00F171F0">
        <w:t xml:space="preserve">anbefalinger </w:t>
      </w:r>
      <w:r w:rsidR="00083814">
        <w:t xml:space="preserve">som er relevante for </w:t>
      </w:r>
      <w:r w:rsidR="000E5D4D">
        <w:t xml:space="preserve">både </w:t>
      </w:r>
      <w:r w:rsidR="00083814">
        <w:t xml:space="preserve">ikke-universitetssykehus og universitetssykehus, </w:t>
      </w:r>
      <w:r w:rsidR="00C5361E">
        <w:t>og</w:t>
      </w:r>
      <w:r w:rsidR="009811C9">
        <w:t xml:space="preserve"> </w:t>
      </w:r>
      <w:r w:rsidR="008F6F4F">
        <w:t xml:space="preserve">en </w:t>
      </w:r>
      <w:r w:rsidR="009811C9">
        <w:t>beskrivelse av</w:t>
      </w:r>
      <w:r w:rsidR="00083814">
        <w:t xml:space="preserve"> utviklingsmuligheter for enheter på </w:t>
      </w:r>
      <w:r w:rsidR="006B47F1">
        <w:t xml:space="preserve">alle </w:t>
      </w:r>
      <w:r w:rsidR="00083814">
        <w:t>nivåer.</w:t>
      </w:r>
    </w:p>
    <w:bookmarkEnd w:id="11"/>
    <w:p w14:paraId="14DD2FDA" w14:textId="59CA7D3F" w:rsidR="008F6F4F" w:rsidRDefault="008F6F4F" w:rsidP="008F6F4F">
      <w:r>
        <w:t>Over tid vil utfordringsbildet endre seg, det samme gjelder kompetanse og kapasitet i regional og lokal forskningsstøtte. Kommende versjoner av anbefalingene derfor vil se annerledes ut enn de som er utarbeidet nå.</w:t>
      </w:r>
    </w:p>
    <w:p w14:paraId="22AE6D1E" w14:textId="04818887" w:rsidR="0056311E" w:rsidRDefault="0056311E" w:rsidP="00083814"/>
    <w:p w14:paraId="2D43EF14" w14:textId="1039F2BA" w:rsidR="00EF1ED1" w:rsidRDefault="00553B1D" w:rsidP="00821450">
      <w:pPr>
        <w:pStyle w:val="Overskrift1"/>
      </w:pPr>
      <w:bookmarkStart w:id="12" w:name="_Toc192525149"/>
      <w:r>
        <w:t xml:space="preserve">Nåsituasjon og </w:t>
      </w:r>
      <w:r w:rsidR="00964AED">
        <w:t>u</w:t>
      </w:r>
      <w:r w:rsidR="00EF1ED1">
        <w:t>tfordringer</w:t>
      </w:r>
      <w:bookmarkEnd w:id="12"/>
    </w:p>
    <w:p w14:paraId="2237A67D" w14:textId="77777777" w:rsidR="00553B1D" w:rsidRDefault="00030E59" w:rsidP="00821450">
      <w:pPr>
        <w:pStyle w:val="Overskrift2"/>
      </w:pPr>
      <w:bookmarkStart w:id="13" w:name="_Toc192525150"/>
      <w:r>
        <w:t>Viktige n</w:t>
      </w:r>
      <w:r w:rsidR="00553B1D">
        <w:t xml:space="preserve">asjonale </w:t>
      </w:r>
      <w:r>
        <w:t>dokumenter</w:t>
      </w:r>
      <w:bookmarkEnd w:id="13"/>
    </w:p>
    <w:p w14:paraId="4BFAC32E" w14:textId="3461BA62" w:rsidR="00553B1D" w:rsidRDefault="00F9739E" w:rsidP="00821450">
      <w:r>
        <w:t>Det er et ønske fra mange miljøer</w:t>
      </w:r>
      <w:r w:rsidR="00F31E61">
        <w:t xml:space="preserve"> og aktører</w:t>
      </w:r>
      <w:r>
        <w:t xml:space="preserve"> om at antall kliniske studier i Norge </w:t>
      </w:r>
      <w:r w:rsidR="00F31E61">
        <w:t xml:space="preserve">skal </w:t>
      </w:r>
      <w:r>
        <w:t>øke.</w:t>
      </w:r>
      <w:r w:rsidR="00A82BFB" w:rsidRPr="00A82BFB">
        <w:t xml:space="preserve"> </w:t>
      </w:r>
      <w:r w:rsidR="00A82BFB">
        <w:t xml:space="preserve">NorCRIN </w:t>
      </w:r>
      <w:r w:rsidR="00BB6240">
        <w:t xml:space="preserve">1 </w:t>
      </w:r>
      <w:r w:rsidR="00A82BFB">
        <w:t xml:space="preserve">og NorCRIN </w:t>
      </w:r>
      <w:r w:rsidR="00BB6240">
        <w:t xml:space="preserve">2 </w:t>
      </w:r>
      <w:r w:rsidR="00A82BFB">
        <w:t>har som mål å medvirke til en slik utvikling.</w:t>
      </w:r>
      <w:r w:rsidR="00553B1D" w:rsidRPr="00553B1D">
        <w:t xml:space="preserve"> Nasjonal handlingsplan for kliniske studier </w:t>
      </w:r>
      <w:r w:rsidR="00B10F30">
        <w:t xml:space="preserve">kom i januar 2021, og </w:t>
      </w:r>
      <w:r w:rsidR="00553B1D" w:rsidRPr="00553B1D">
        <w:t xml:space="preserve">uttrykker </w:t>
      </w:r>
      <w:r w:rsidR="00B10F30">
        <w:t>Regjeringens sterke</w:t>
      </w:r>
      <w:r w:rsidR="00553B1D" w:rsidRPr="00553B1D">
        <w:t xml:space="preserve"> politisk</w:t>
      </w:r>
      <w:r w:rsidR="00C57230">
        <w:t>e</w:t>
      </w:r>
      <w:r w:rsidR="00553B1D" w:rsidRPr="00553B1D">
        <w:t xml:space="preserve"> ønske om å få til </w:t>
      </w:r>
      <w:r w:rsidR="00B10F30">
        <w:t xml:space="preserve">flere kliniske studier i Norge. </w:t>
      </w:r>
      <w:hyperlink r:id="rId13" w:history="1">
        <w:r w:rsidR="00B10F30" w:rsidRPr="007431CE">
          <w:rPr>
            <w:rStyle w:val="Hyperkobling"/>
          </w:rPr>
          <w:t>Planen</w:t>
        </w:r>
      </w:hyperlink>
      <w:r w:rsidR="00B10F30">
        <w:t xml:space="preserve"> beskriver 9 «Innsat</w:t>
      </w:r>
      <w:r w:rsidR="00553B1D" w:rsidRPr="00553B1D">
        <w:t>sområder</w:t>
      </w:r>
      <w:r w:rsidR="00B10F30">
        <w:t xml:space="preserve">», og under hvert av disse </w:t>
      </w:r>
      <w:r w:rsidR="005F3EF2">
        <w:t>beskrives ulike tiltak og ansvarlig for tiltaket</w:t>
      </w:r>
      <w:r w:rsidR="00442267">
        <w:t>.</w:t>
      </w:r>
    </w:p>
    <w:p w14:paraId="6E1E9745" w14:textId="77777777" w:rsidR="00442267" w:rsidRPr="00553B1D" w:rsidRDefault="00442267" w:rsidP="00821450"/>
    <w:p w14:paraId="269E30EC" w14:textId="77777777" w:rsidR="00B10F30" w:rsidRDefault="00553B1D" w:rsidP="00821450">
      <w:r w:rsidRPr="00553B1D">
        <w:t xml:space="preserve">Riksrevisjonen </w:t>
      </w:r>
      <w:r w:rsidR="00B10F30">
        <w:t xml:space="preserve">kom i mai 2021 </w:t>
      </w:r>
      <w:r w:rsidRPr="00553B1D">
        <w:t>m</w:t>
      </w:r>
      <w:r w:rsidR="00B10F30">
        <w:t>ed</w:t>
      </w:r>
      <w:r w:rsidRPr="00553B1D">
        <w:t xml:space="preserve"> sin </w:t>
      </w:r>
      <w:hyperlink r:id="rId14" w:history="1">
        <w:r w:rsidRPr="00B10F30">
          <w:rPr>
            <w:rStyle w:val="Hyperkobling"/>
          </w:rPr>
          <w:t>rapport</w:t>
        </w:r>
      </w:hyperlink>
      <w:r w:rsidRPr="00553B1D">
        <w:t xml:space="preserve">, som </w:t>
      </w:r>
      <w:r w:rsidR="00B10F30">
        <w:t>har følgende konklusjoner:</w:t>
      </w:r>
    </w:p>
    <w:p w14:paraId="1DC79525" w14:textId="65F8A2F6" w:rsidR="00B10F30" w:rsidRPr="00B10F30" w:rsidRDefault="00B10F30" w:rsidP="00783F48">
      <w:pPr>
        <w:pStyle w:val="Listeavsnitt"/>
        <w:numPr>
          <w:ilvl w:val="0"/>
          <w:numId w:val="12"/>
        </w:numPr>
      </w:pPr>
      <w:r w:rsidRPr="00B10F30">
        <w:t>Pasienters tilgang til kliniske behandlingsstudier er ikke god nok</w:t>
      </w:r>
    </w:p>
    <w:p w14:paraId="0CB163E4" w14:textId="0E90B1E1" w:rsidR="00B10F30" w:rsidRPr="00B10F30" w:rsidRDefault="00B10F30" w:rsidP="00783F48">
      <w:pPr>
        <w:pStyle w:val="Listeavsnitt"/>
        <w:numPr>
          <w:ilvl w:val="0"/>
          <w:numId w:val="12"/>
        </w:numPr>
      </w:pPr>
      <w:r w:rsidRPr="00B10F30">
        <w:t>Kliniske behandlingsstudier er ikke tilstrekkelig integrert i pasientbehandlingen</w:t>
      </w:r>
    </w:p>
    <w:p w14:paraId="0C51E531" w14:textId="6004B78A" w:rsidR="00B10F30" w:rsidRPr="00B10F30" w:rsidRDefault="00B10F30" w:rsidP="00783F48">
      <w:pPr>
        <w:pStyle w:val="Listeavsnitt"/>
        <w:numPr>
          <w:ilvl w:val="0"/>
          <w:numId w:val="12"/>
        </w:numPr>
      </w:pPr>
      <w:r w:rsidRPr="00B10F30">
        <w:t>Mange styrer i helseforetak og regionale helseforetak har lite oppmerksomhet rettet mot forskning</w:t>
      </w:r>
    </w:p>
    <w:p w14:paraId="3CD24797" w14:textId="300208D1" w:rsidR="00B10F30" w:rsidRPr="00B10F30" w:rsidRDefault="00B10F30" w:rsidP="00783F48">
      <w:pPr>
        <w:pStyle w:val="Listeavsnitt"/>
        <w:numPr>
          <w:ilvl w:val="0"/>
          <w:numId w:val="12"/>
        </w:numPr>
      </w:pPr>
      <w:r w:rsidRPr="00B10F30">
        <w:t>Det er mulig å øke antallet kliniske behandlingsstudier og antallet studiepasienter som deltar i slike</w:t>
      </w:r>
    </w:p>
    <w:p w14:paraId="6A114DEF" w14:textId="13A1E41D" w:rsidR="00553B1D" w:rsidRDefault="005F3EF2" w:rsidP="00821450">
      <w:r>
        <w:t xml:space="preserve">Rapporten </w:t>
      </w:r>
      <w:r w:rsidR="00553B1D" w:rsidRPr="00553B1D">
        <w:t>påpeker flaskehalser</w:t>
      </w:r>
      <w:r>
        <w:t>,</w:t>
      </w:r>
      <w:r w:rsidR="00553B1D" w:rsidRPr="00553B1D">
        <w:t xml:space="preserve"> og </w:t>
      </w:r>
      <w:r w:rsidR="00B10F30">
        <w:t xml:space="preserve">kommer med anbefalinger </w:t>
      </w:r>
      <w:r>
        <w:t xml:space="preserve">på tre nivåer; </w:t>
      </w:r>
      <w:r w:rsidR="00B10F30">
        <w:t xml:space="preserve">for HF, </w:t>
      </w:r>
      <w:r w:rsidR="00CE6C21">
        <w:t>RHF</w:t>
      </w:r>
      <w:r>
        <w:t xml:space="preserve"> og styrene i helseregionene,</w:t>
      </w:r>
      <w:r w:rsidR="00553B1D" w:rsidRPr="00553B1D">
        <w:t xml:space="preserve"> </w:t>
      </w:r>
      <w:r>
        <w:t xml:space="preserve">med målsetningen om at </w:t>
      </w:r>
      <w:r w:rsidR="00553B1D" w:rsidRPr="00553B1D">
        <w:t xml:space="preserve">antallet kliniske studier </w:t>
      </w:r>
      <w:r>
        <w:t>og antall pasienter som inkluderes i kliniske studier, blir økt</w:t>
      </w:r>
      <w:r w:rsidR="00553B1D" w:rsidRPr="00553B1D">
        <w:t>.</w:t>
      </w:r>
    </w:p>
    <w:p w14:paraId="5674CD02" w14:textId="77777777" w:rsidR="00971029" w:rsidRPr="00CF3EB8" w:rsidRDefault="00971029" w:rsidP="00971029">
      <w:r w:rsidRPr="00CF3EB8">
        <w:t xml:space="preserve">Riksrevisjonen gjennomgikk også forskningsstøttetilbudet for kliniske studier i helseforetakene ganske grundig, og anbefalte helt konkret at helseforetakene: </w:t>
      </w:r>
    </w:p>
    <w:p w14:paraId="59E9AC74" w14:textId="77777777" w:rsidR="00971029" w:rsidRPr="0031773C" w:rsidRDefault="00971029" w:rsidP="00CE6C21">
      <w:pPr>
        <w:rPr>
          <w:i/>
          <w:iCs/>
        </w:rPr>
      </w:pPr>
      <w:r w:rsidRPr="00AC62DC">
        <w:rPr>
          <w:i/>
        </w:rPr>
        <w:t>sørger for at ledere legger til rette for kliniske behandlingsstudier, noe som blant annet kan gjøres gjennom å sørge for tilstrekkelig forskningsstøtte, rom, utstyr og skjermet tid, slik at helsepersonell har nødvendig handlingsrom for å delta i og gjennomføre kliniske studier</w:t>
      </w:r>
      <w:r w:rsidRPr="00AC62DC">
        <w:rPr>
          <w:i/>
          <w:iCs/>
        </w:rPr>
        <w:t>.</w:t>
      </w:r>
    </w:p>
    <w:p w14:paraId="7BBB3A1C" w14:textId="77777777" w:rsidR="00971029" w:rsidRDefault="00971029" w:rsidP="00821450"/>
    <w:p w14:paraId="34E7C11C" w14:textId="0B6942E7" w:rsidR="005F3EF2" w:rsidRDefault="0084781D" w:rsidP="00821450">
      <w:r>
        <w:lastRenderedPageBreak/>
        <w:t xml:space="preserve">Anbefalinger </w:t>
      </w:r>
      <w:r w:rsidR="0010340F">
        <w:t xml:space="preserve">fra disse </w:t>
      </w:r>
      <w:r w:rsidR="003923F0">
        <w:t xml:space="preserve">to </w:t>
      </w:r>
      <w:r w:rsidR="0010340F">
        <w:t>d</w:t>
      </w:r>
      <w:r w:rsidR="005F3EF2">
        <w:t xml:space="preserve">okumentene </w:t>
      </w:r>
      <w:r>
        <w:t>er</w:t>
      </w:r>
      <w:r w:rsidR="005F3EF2">
        <w:t xml:space="preserve"> tatt inn i </w:t>
      </w:r>
      <w:r>
        <w:t xml:space="preserve">denne </w:t>
      </w:r>
      <w:r w:rsidR="008F6F4F">
        <w:t>del</w:t>
      </w:r>
      <w:r>
        <w:t xml:space="preserve">rapporten </w:t>
      </w:r>
      <w:r w:rsidR="005F3EF2">
        <w:t xml:space="preserve">så langt </w:t>
      </w:r>
      <w:r>
        <w:t>de er funnet</w:t>
      </w:r>
      <w:r w:rsidR="005F3EF2">
        <w:t xml:space="preserve"> relevant</w:t>
      </w:r>
      <w:r w:rsidR="002141E4">
        <w:t xml:space="preserve">, og har konkret ledet </w:t>
      </w:r>
      <w:r w:rsidR="00CA3F6A">
        <w:t xml:space="preserve">et </w:t>
      </w:r>
      <w:r w:rsidR="003065DC">
        <w:t>sterkere</w:t>
      </w:r>
      <w:r w:rsidR="00CA3F6A">
        <w:t xml:space="preserve"> </w:t>
      </w:r>
      <w:proofErr w:type="gramStart"/>
      <w:r w:rsidR="00CA3F6A">
        <w:t>fokus</w:t>
      </w:r>
      <w:proofErr w:type="gramEnd"/>
      <w:r w:rsidR="003065DC">
        <w:t xml:space="preserve"> på forskningsstøtte i Norden.</w:t>
      </w:r>
    </w:p>
    <w:p w14:paraId="3367371E" w14:textId="77777777" w:rsidR="0056311E" w:rsidRPr="00553B1D" w:rsidRDefault="0056311E" w:rsidP="00821450"/>
    <w:p w14:paraId="1B771E62" w14:textId="05E9B070" w:rsidR="00C55FD8" w:rsidRPr="00C62085" w:rsidRDefault="006C6662" w:rsidP="00C62085">
      <w:pPr>
        <w:pStyle w:val="Overskrift2"/>
      </w:pPr>
      <w:bookmarkStart w:id="14" w:name="_Toc192525151"/>
      <w:r w:rsidRPr="00C62085">
        <w:t xml:space="preserve">Kliniske </w:t>
      </w:r>
      <w:r w:rsidR="00071630" w:rsidRPr="00C62085">
        <w:t>intervensjons</w:t>
      </w:r>
      <w:r w:rsidR="00CB550B" w:rsidRPr="00C62085">
        <w:t>studier</w:t>
      </w:r>
      <w:bookmarkEnd w:id="14"/>
    </w:p>
    <w:p w14:paraId="43D55D9C" w14:textId="237A3662" w:rsidR="00AC43B9" w:rsidRDefault="006C6662" w:rsidP="00821450">
      <w:r>
        <w:t xml:space="preserve">Dette er studier der ulike typer for medikamentell intervensjon, medikamentell behandling, </w:t>
      </w:r>
      <w:r w:rsidR="004C5225">
        <w:t xml:space="preserve">eller </w:t>
      </w:r>
      <w:r w:rsidR="002141E4">
        <w:t>utvikling av</w:t>
      </w:r>
      <w:r w:rsidR="00262E4A">
        <w:t xml:space="preserve">/behandling med </w:t>
      </w:r>
      <w:r w:rsidR="004C5225">
        <w:t>medisinsk utstyr</w:t>
      </w:r>
      <w:r w:rsidR="00EB40C3">
        <w:t xml:space="preserve">, eller studier med stråling, </w:t>
      </w:r>
      <w:proofErr w:type="gramStart"/>
      <w:r w:rsidR="00EB40C3">
        <w:t>kirurgi,</w:t>
      </w:r>
      <w:proofErr w:type="gramEnd"/>
      <w:r w:rsidR="00EB40C3">
        <w:t xml:space="preserve"> psykologisk behandling (ofte kalt «andre intervensjoner»), </w:t>
      </w:r>
      <w:r>
        <w:t xml:space="preserve">prøves ut i </w:t>
      </w:r>
      <w:r w:rsidR="00964AED">
        <w:t xml:space="preserve">prospektive </w:t>
      </w:r>
      <w:r>
        <w:t xml:space="preserve">systematiske forsøk. Studiedeltakerne får behandling </w:t>
      </w:r>
      <w:r w:rsidR="004C5225">
        <w:t xml:space="preserve">og tilgang til teknologi (utstyr) </w:t>
      </w:r>
      <w:r>
        <w:t xml:space="preserve">de ikke ellers ville fått i </w:t>
      </w:r>
      <w:r w:rsidR="00E12E70">
        <w:t xml:space="preserve">et </w:t>
      </w:r>
      <w:r>
        <w:t>standard behandling</w:t>
      </w:r>
      <w:r w:rsidR="00EB40C3">
        <w:t>sforløp. Intervensjonen</w:t>
      </w:r>
      <w:r w:rsidR="00604D76">
        <w:t xml:space="preserve"> kan </w:t>
      </w:r>
      <w:r w:rsidR="00EB40C3">
        <w:t xml:space="preserve">også </w:t>
      </w:r>
      <w:r w:rsidR="00604D76">
        <w:t>innebære at man unnlater å gi et legemiddel eller en annen intervensjon</w:t>
      </w:r>
      <w:r w:rsidR="00EB40C3">
        <w:t>, ev</w:t>
      </w:r>
      <w:r w:rsidR="00C62085">
        <w:t>.</w:t>
      </w:r>
      <w:r w:rsidR="00EB40C3">
        <w:t xml:space="preserve"> </w:t>
      </w:r>
      <w:r w:rsidR="00C62085">
        <w:t xml:space="preserve">bruke </w:t>
      </w:r>
      <w:r w:rsidR="00EB40C3">
        <w:t xml:space="preserve">et </w:t>
      </w:r>
      <w:r w:rsidR="004C5225">
        <w:t>medisinsk utstyr</w:t>
      </w:r>
      <w:r w:rsidR="00EB40C3">
        <w:t>,</w:t>
      </w:r>
      <w:r w:rsidR="00604D76">
        <w:t xml:space="preserve"> som inngår i et regulært forløp</w:t>
      </w:r>
      <w:r>
        <w:t>.</w:t>
      </w:r>
      <w:r w:rsidR="00821450">
        <w:t xml:space="preserve"> </w:t>
      </w:r>
    </w:p>
    <w:p w14:paraId="4DDE8687" w14:textId="223C5C62" w:rsidR="00FD7ACE" w:rsidRDefault="00803CD9" w:rsidP="00821450">
      <w:r>
        <w:t xml:space="preserve">I det etterfølgende har vi beskrevet kliniske studier </w:t>
      </w:r>
      <w:r w:rsidR="00462A4A">
        <w:t xml:space="preserve">(prospektive intervensjonsstudier) </w:t>
      </w:r>
      <w:r>
        <w:t xml:space="preserve">med legemidler og kliniske studier med medisinsk utstyr i egne avsnitt, </w:t>
      </w:r>
      <w:r w:rsidR="00E12E70">
        <w:t xml:space="preserve">da de styres av ulike lovgivning. </w:t>
      </w:r>
    </w:p>
    <w:p w14:paraId="63257CD1" w14:textId="549227B4" w:rsidR="00FD7ACE" w:rsidRDefault="00FD7ACE" w:rsidP="00821450">
      <w:r>
        <w:t xml:space="preserve">NorTrials </w:t>
      </w:r>
      <w:r w:rsidR="00CF3B86">
        <w:t>senter</w:t>
      </w:r>
      <w:r w:rsidR="00644A63">
        <w:t xml:space="preserve">et for </w:t>
      </w:r>
      <w:r>
        <w:t xml:space="preserve">Medisinsk utstyr ved St. Olavs hospital, er </w:t>
      </w:r>
      <w:r w:rsidR="001771D8">
        <w:t xml:space="preserve">et </w:t>
      </w:r>
      <w:r>
        <w:t xml:space="preserve">viktig </w:t>
      </w:r>
      <w:r w:rsidR="003D3DA6">
        <w:t xml:space="preserve">nasjonalt </w:t>
      </w:r>
      <w:r w:rsidR="00903870">
        <w:t xml:space="preserve">kompetansesenter </w:t>
      </w:r>
      <w:r>
        <w:t>for kliniske studier og utprøving av ny medisinsk teknologi og utstyr.</w:t>
      </w:r>
    </w:p>
    <w:p w14:paraId="1F106CDE" w14:textId="330E6C07" w:rsidR="00B93C5D" w:rsidRDefault="00B93C5D" w:rsidP="00821450">
      <w:r>
        <w:t>P</w:t>
      </w:r>
      <w:r w:rsidR="00462A4A">
        <w:t xml:space="preserve">ragmatiske studier </w:t>
      </w:r>
      <w:r w:rsidR="00E12E70">
        <w:t>er som hovedregel</w:t>
      </w:r>
      <w:r w:rsidR="00462A4A">
        <w:t xml:space="preserve"> prospektive intervensjonsstudier, men er viet et eget avsnitt, da dette er en </w:t>
      </w:r>
      <w:r w:rsidR="008F03AD">
        <w:t xml:space="preserve">«ny» </w:t>
      </w:r>
      <w:r w:rsidR="00462A4A">
        <w:t>type studier som vies økend</w:t>
      </w:r>
      <w:r w:rsidR="00E12E70">
        <w:t>e intere</w:t>
      </w:r>
      <w:r w:rsidR="008F03AD">
        <w:t>sse nasjonalt og internasjonalt. AP</w:t>
      </w:r>
      <w:r w:rsidR="00C57230">
        <w:t>13</w:t>
      </w:r>
      <w:r w:rsidR="008F03AD">
        <w:t xml:space="preserve"> </w:t>
      </w:r>
      <w:r w:rsidR="00462A4A">
        <w:t>i NorCRIN</w:t>
      </w:r>
      <w:r w:rsidR="008F03AD">
        <w:t xml:space="preserve">2 har </w:t>
      </w:r>
      <w:proofErr w:type="gramStart"/>
      <w:r w:rsidR="008F03AD">
        <w:t>fokus</w:t>
      </w:r>
      <w:proofErr w:type="gramEnd"/>
      <w:r w:rsidR="008F03AD">
        <w:t xml:space="preserve"> på </w:t>
      </w:r>
      <w:r w:rsidR="000A00E7">
        <w:t>pragmatiske studier og registerbaserte kliniske studier.</w:t>
      </w:r>
    </w:p>
    <w:p w14:paraId="2666FD23" w14:textId="1756A15E" w:rsidR="00462A4A" w:rsidRDefault="00462A4A" w:rsidP="00821450">
      <w:r>
        <w:t xml:space="preserve">Studier i primærhelsetjenesten kan også være prospektive intervensjonsstudier, men er </w:t>
      </w:r>
      <w:r w:rsidR="000A00E7">
        <w:t xml:space="preserve">også </w:t>
      </w:r>
      <w:r>
        <w:t>viet et eget avsnitt</w:t>
      </w:r>
      <w:r w:rsidR="00FD7ACE">
        <w:t>,</w:t>
      </w:r>
      <w:r>
        <w:t xml:space="preserve"> da de involverer andre aktører enn de som tradisjonelt samarbeider innenfor spesialisthelsetjenesten.</w:t>
      </w:r>
      <w:r w:rsidR="008F03AD">
        <w:t xml:space="preserve"> I videre utvikling av pasientbehandling og forskning, er man interesserte i å bygge ned skillene mellom nivåene i helsetjenesten.</w:t>
      </w:r>
    </w:p>
    <w:p w14:paraId="3E3FA25D" w14:textId="77777777" w:rsidR="0056311E" w:rsidRDefault="0056311E" w:rsidP="00821450"/>
    <w:p w14:paraId="41E89B75" w14:textId="77777777" w:rsidR="00803CD9" w:rsidRDefault="00803CD9" w:rsidP="007A43AB">
      <w:pPr>
        <w:pStyle w:val="Overskrift3"/>
      </w:pPr>
      <w:r>
        <w:t>Kliniske studier med legemidler</w:t>
      </w:r>
    </w:p>
    <w:p w14:paraId="6B74F280" w14:textId="4AA877C2" w:rsidR="00EE0C3E" w:rsidRPr="002141E4" w:rsidRDefault="00087264" w:rsidP="00EE0C3E">
      <w:pPr>
        <w:rPr>
          <w:color w:val="auto"/>
        </w:rPr>
      </w:pPr>
      <w:r>
        <w:t xml:space="preserve">Kliniske </w:t>
      </w:r>
      <w:r w:rsidR="00FD7ACE">
        <w:t>legemiddel</w:t>
      </w:r>
      <w:r>
        <w:t xml:space="preserve">studier </w:t>
      </w:r>
      <w:r w:rsidR="0039747B">
        <w:t xml:space="preserve">er komplisert og </w:t>
      </w:r>
      <w:r>
        <w:t xml:space="preserve">følger </w:t>
      </w:r>
      <w:r w:rsidR="00412147">
        <w:t xml:space="preserve">flere ulike </w:t>
      </w:r>
      <w:r>
        <w:t>lovverk, med definerte faser og roller. Vi ser for tiden en bevegelse fra nasjonal</w:t>
      </w:r>
      <w:r w:rsidR="00660A32">
        <w:t xml:space="preserve">e lover og forskrifter, til felles </w:t>
      </w:r>
      <w:r w:rsidR="00102B96">
        <w:t xml:space="preserve">europeiske </w:t>
      </w:r>
      <w:r>
        <w:t xml:space="preserve">lovverk. I dette er </w:t>
      </w:r>
      <w:r w:rsidR="00102B96">
        <w:t>legemiddel</w:t>
      </w:r>
      <w:r>
        <w:t xml:space="preserve">industrien en viktig pådriver, </w:t>
      </w:r>
      <w:r w:rsidR="00660A32">
        <w:t>som søker harmonisering/forenkling og redus</w:t>
      </w:r>
      <w:r>
        <w:t>ert tid og kostnad for utvikling av nye legemidler.</w:t>
      </w:r>
      <w:r w:rsidR="00EE0C3E" w:rsidRPr="00EE0C3E">
        <w:t xml:space="preserve"> </w:t>
      </w:r>
      <w:r w:rsidR="00FD7ACE">
        <w:t>I EU</w:t>
      </w:r>
      <w:r w:rsidR="00C57230">
        <w:t>/EØS</w:t>
      </w:r>
      <w:r w:rsidR="00FD7ACE">
        <w:t xml:space="preserve"> ble e</w:t>
      </w:r>
      <w:r w:rsidR="00C57230">
        <w:t>n ny forordning (</w:t>
      </w:r>
      <w:r w:rsidR="0049770D">
        <w:t xml:space="preserve">EU </w:t>
      </w:r>
      <w:r w:rsidR="00C57230">
        <w:t>CTR</w:t>
      </w:r>
      <w:r w:rsidR="0049770D">
        <w:t xml:space="preserve"> 536/2014) </w:t>
      </w:r>
      <w:proofErr w:type="gramStart"/>
      <w:r w:rsidR="0049770D">
        <w:t>implementert</w:t>
      </w:r>
      <w:proofErr w:type="gramEnd"/>
      <w:r w:rsidR="00EE0C3E">
        <w:t xml:space="preserve"> fra 31. jan 2022</w:t>
      </w:r>
      <w:r w:rsidR="00C57230">
        <w:t>, og denne er også gjeldende for Norge.</w:t>
      </w:r>
      <w:r w:rsidR="00FD7ACE">
        <w:t xml:space="preserve"> </w:t>
      </w:r>
      <w:r w:rsidR="00C57230">
        <w:rPr>
          <w:color w:val="auto"/>
        </w:rPr>
        <w:t xml:space="preserve">Denne forordningen </w:t>
      </w:r>
      <w:r w:rsidR="00FD7ACE" w:rsidRPr="002141E4">
        <w:rPr>
          <w:color w:val="auto"/>
        </w:rPr>
        <w:t>aktualiserer r</w:t>
      </w:r>
      <w:r w:rsidR="00EE0C3E" w:rsidRPr="002141E4">
        <w:rPr>
          <w:color w:val="auto"/>
        </w:rPr>
        <w:t>eg</w:t>
      </w:r>
      <w:r w:rsidR="0049770D" w:rsidRPr="002141E4">
        <w:rPr>
          <w:color w:val="auto"/>
        </w:rPr>
        <w:t>ulatorisk kompetanse</w:t>
      </w:r>
      <w:r w:rsidR="0032556A">
        <w:rPr>
          <w:color w:val="auto"/>
        </w:rPr>
        <w:t xml:space="preserve"> </w:t>
      </w:r>
      <w:r w:rsidR="0049770D" w:rsidRPr="002141E4">
        <w:rPr>
          <w:color w:val="auto"/>
        </w:rPr>
        <w:t xml:space="preserve">og viktigheten av å ha </w:t>
      </w:r>
      <w:r w:rsidR="00FD7ACE" w:rsidRPr="002141E4">
        <w:rPr>
          <w:color w:val="auto"/>
        </w:rPr>
        <w:t>kunnskap om</w:t>
      </w:r>
      <w:r w:rsidR="00EE0C3E" w:rsidRPr="002141E4">
        <w:rPr>
          <w:color w:val="auto"/>
        </w:rPr>
        <w:t xml:space="preserve"> </w:t>
      </w:r>
      <w:r w:rsidR="00412147">
        <w:rPr>
          <w:color w:val="auto"/>
        </w:rPr>
        <w:t xml:space="preserve">Good </w:t>
      </w:r>
      <w:proofErr w:type="spellStart"/>
      <w:r w:rsidR="00412147">
        <w:rPr>
          <w:color w:val="auto"/>
        </w:rPr>
        <w:t>Clinical</w:t>
      </w:r>
      <w:proofErr w:type="spellEnd"/>
      <w:r w:rsidR="00412147">
        <w:rPr>
          <w:color w:val="auto"/>
        </w:rPr>
        <w:t xml:space="preserve"> </w:t>
      </w:r>
      <w:proofErr w:type="spellStart"/>
      <w:r w:rsidR="00412147">
        <w:rPr>
          <w:color w:val="auto"/>
        </w:rPr>
        <w:t>Practi</w:t>
      </w:r>
      <w:r w:rsidR="004335A9">
        <w:rPr>
          <w:color w:val="auto"/>
        </w:rPr>
        <w:t>c</w:t>
      </w:r>
      <w:r w:rsidR="00412147">
        <w:rPr>
          <w:color w:val="auto"/>
        </w:rPr>
        <w:t>e</w:t>
      </w:r>
      <w:proofErr w:type="spellEnd"/>
      <w:r w:rsidR="00412147">
        <w:rPr>
          <w:color w:val="auto"/>
        </w:rPr>
        <w:t xml:space="preserve"> (</w:t>
      </w:r>
      <w:r w:rsidR="00EE0C3E" w:rsidRPr="002141E4">
        <w:rPr>
          <w:color w:val="auto"/>
        </w:rPr>
        <w:t>GCP</w:t>
      </w:r>
      <w:r w:rsidR="00412147">
        <w:rPr>
          <w:color w:val="auto"/>
        </w:rPr>
        <w:t>)</w:t>
      </w:r>
      <w:r w:rsidR="00FD7ACE" w:rsidRPr="002141E4">
        <w:rPr>
          <w:color w:val="auto"/>
        </w:rPr>
        <w:t xml:space="preserve"> og</w:t>
      </w:r>
      <w:r w:rsidR="00EE0C3E" w:rsidRPr="002141E4">
        <w:rPr>
          <w:color w:val="auto"/>
        </w:rPr>
        <w:t xml:space="preserve"> myndighetskrav,</w:t>
      </w:r>
      <w:r w:rsidR="0049770D" w:rsidRPr="002141E4">
        <w:rPr>
          <w:color w:val="auto"/>
        </w:rPr>
        <w:t xml:space="preserve"> </w:t>
      </w:r>
      <w:r w:rsidR="00FD7ACE" w:rsidRPr="002141E4">
        <w:rPr>
          <w:color w:val="auto"/>
        </w:rPr>
        <w:t>når man skal</w:t>
      </w:r>
      <w:r w:rsidR="00EE0C3E" w:rsidRPr="002141E4">
        <w:rPr>
          <w:color w:val="auto"/>
        </w:rPr>
        <w:t xml:space="preserve"> søke om å få gjennomføre</w:t>
      </w:r>
      <w:r w:rsidR="00B8057C">
        <w:rPr>
          <w:color w:val="auto"/>
        </w:rPr>
        <w:t xml:space="preserve"> ikke bare </w:t>
      </w:r>
      <w:proofErr w:type="gramStart"/>
      <w:r w:rsidR="00B8057C">
        <w:rPr>
          <w:color w:val="auto"/>
        </w:rPr>
        <w:t>legemiddelstudier</w:t>
      </w:r>
      <w:proofErr w:type="gramEnd"/>
      <w:r w:rsidR="00B8057C">
        <w:rPr>
          <w:color w:val="auto"/>
        </w:rPr>
        <w:t xml:space="preserve"> men også andre</w:t>
      </w:r>
      <w:r w:rsidR="00EE0C3E" w:rsidRPr="002141E4">
        <w:rPr>
          <w:color w:val="auto"/>
        </w:rPr>
        <w:t xml:space="preserve"> typer kliniske studier. </w:t>
      </w:r>
    </w:p>
    <w:p w14:paraId="2DC2D774" w14:textId="29792919" w:rsidR="00A80582" w:rsidRDefault="008F03AD" w:rsidP="00821450">
      <w:r>
        <w:t xml:space="preserve">Kliniske legemiddelstudier </w:t>
      </w:r>
      <w:r w:rsidR="00F14307">
        <w:t xml:space="preserve">i Norge </w:t>
      </w:r>
      <w:r>
        <w:t xml:space="preserve">er for tiden inne i en periode preget av store endringer, drevet av </w:t>
      </w:r>
      <w:r w:rsidR="00F14307">
        <w:t xml:space="preserve">økt </w:t>
      </w:r>
      <w:r>
        <w:t>digitalisering</w:t>
      </w:r>
      <w:r w:rsidR="00424859">
        <w:t>, økt kompleksitet</w:t>
      </w:r>
      <w:r>
        <w:t xml:space="preserve"> og et behov i helsetjenesten for å opprettholde og utvikle</w:t>
      </w:r>
      <w:r w:rsidR="00424859">
        <w:t xml:space="preserve"> og utvide</w:t>
      </w:r>
      <w:r>
        <w:t xml:space="preserve"> tjenestene</w:t>
      </w:r>
      <w:r w:rsidR="00C2041B">
        <w:t>.</w:t>
      </w:r>
      <w:r w:rsidR="00712A26">
        <w:t xml:space="preserve"> </w:t>
      </w:r>
      <w:r w:rsidR="00B619AD">
        <w:t>Det er en stor</w:t>
      </w:r>
      <w:r>
        <w:t>utfordring på bemanningssiden</w:t>
      </w:r>
      <w:r w:rsidR="003E43D3">
        <w:t xml:space="preserve">, hvor både </w:t>
      </w:r>
      <w:r w:rsidR="003D6C21">
        <w:t>tid, personell og kompetanse</w:t>
      </w:r>
      <w:r w:rsidR="003E43D3">
        <w:t xml:space="preserve"> er vik</w:t>
      </w:r>
      <w:r w:rsidR="00FD09CF">
        <w:t>tig</w:t>
      </w:r>
      <w:r w:rsidR="003E43D3">
        <w:t>e faktorer</w:t>
      </w:r>
      <w:r>
        <w:t xml:space="preserve">. </w:t>
      </w:r>
    </w:p>
    <w:p w14:paraId="17B1D4C5" w14:textId="77777777" w:rsidR="0056311E" w:rsidRDefault="0056311E" w:rsidP="00821450"/>
    <w:p w14:paraId="26D05A81" w14:textId="29D5CD10" w:rsidR="00C55FD8" w:rsidRDefault="00C55FD8" w:rsidP="007A43AB">
      <w:pPr>
        <w:pStyle w:val="Overskrift4"/>
      </w:pPr>
      <w:r>
        <w:t xml:space="preserve">Forskerinitierte </w:t>
      </w:r>
      <w:r w:rsidR="00803CD9">
        <w:t>legemiddel</w:t>
      </w:r>
      <w:r>
        <w:t>studier</w:t>
      </w:r>
    </w:p>
    <w:p w14:paraId="222CC6C7" w14:textId="7369174C" w:rsidR="00C55FD8" w:rsidRDefault="00C55FD8" w:rsidP="00C55FD8">
      <w:r>
        <w:t xml:space="preserve">Forskerinitierte, </w:t>
      </w:r>
      <w:r w:rsidR="009E780A">
        <w:t xml:space="preserve">også kalt </w:t>
      </w:r>
      <w:r>
        <w:t>akademiske studier, defineres ved at en akademisk institusjon</w:t>
      </w:r>
      <w:r w:rsidR="00714CC4">
        <w:t xml:space="preserve"> (</w:t>
      </w:r>
      <w:r w:rsidR="00DC5D0E">
        <w:t xml:space="preserve">sykehus/helseforetak (HF), </w:t>
      </w:r>
      <w:r w:rsidR="00714CC4">
        <w:t>universitet eller universitetssykehus)</w:t>
      </w:r>
      <w:r>
        <w:t xml:space="preserve"> er sponsor</w:t>
      </w:r>
      <w:r w:rsidR="00DC5D0E">
        <w:t xml:space="preserve">/forskningsansvarlig </w:t>
      </w:r>
      <w:r w:rsidR="00DC5D0E">
        <w:lastRenderedPageBreak/>
        <w:t>institusjon</w:t>
      </w:r>
      <w:r>
        <w:t xml:space="preserve"> for studien. Bidragsstudier faller i samme kategori</w:t>
      </w:r>
      <w:r w:rsidR="00DC5D0E">
        <w:t xml:space="preserve">, </w:t>
      </w:r>
      <w:r>
        <w:t>men gjennomfører studien med ulike former for støtte</w:t>
      </w:r>
      <w:r w:rsidR="001337F6">
        <w:t xml:space="preserve"> fra </w:t>
      </w:r>
      <w:r w:rsidR="001567CA">
        <w:t>industrien</w:t>
      </w:r>
      <w:r>
        <w:t xml:space="preserve">, </w:t>
      </w:r>
      <w:proofErr w:type="spellStart"/>
      <w:r>
        <w:t>feks</w:t>
      </w:r>
      <w:proofErr w:type="spellEnd"/>
      <w:r>
        <w:t>. et legemiddel. Vi ser etter hvert nye samarbeidsformer vokse frem, der akademiske og kommersielle aktører samarbeider tett, av ty</w:t>
      </w:r>
      <w:r w:rsidR="004716AF">
        <w:t xml:space="preserve">pen </w:t>
      </w:r>
      <w:proofErr w:type="spellStart"/>
      <w:r w:rsidR="004716AF">
        <w:t>ImpressNorway</w:t>
      </w:r>
      <w:proofErr w:type="spellEnd"/>
      <w:r w:rsidR="004716AF">
        <w:t>. Rent formel</w:t>
      </w:r>
      <w:r>
        <w:t>t er dette en akademisk studie, men styring av studien gjøres i tett samarbeid mellom akademiske og kommersielle deltakere. EUs forordning fo</w:t>
      </w:r>
      <w:r w:rsidR="00EE0C3E">
        <w:t>r legemidler</w:t>
      </w:r>
      <w:r w:rsidR="002D4780">
        <w:t xml:space="preserve">åpner </w:t>
      </w:r>
      <w:r>
        <w:t xml:space="preserve">for at </w:t>
      </w:r>
      <w:r w:rsidR="00A05D51">
        <w:t xml:space="preserve">kliniske </w:t>
      </w:r>
      <w:r w:rsidR="002D4780">
        <w:t xml:space="preserve">studier </w:t>
      </w:r>
      <w:r>
        <w:t>kan drives av en sponsor og en co-sponsor, dvs</w:t>
      </w:r>
      <w:r w:rsidR="004716AF">
        <w:t>.</w:t>
      </w:r>
      <w:r>
        <w:t xml:space="preserve"> </w:t>
      </w:r>
      <w:r w:rsidR="0073006A">
        <w:t xml:space="preserve">at </w:t>
      </w:r>
      <w:r>
        <w:t>to virksomheter/ulike enheter, kan være ansvarlig</w:t>
      </w:r>
      <w:r w:rsidR="004716AF">
        <w:t>.</w:t>
      </w:r>
    </w:p>
    <w:p w14:paraId="2AD297D0" w14:textId="4C8241D0" w:rsidR="00C55FD8" w:rsidRDefault="00C55FD8" w:rsidP="00C55FD8">
      <w:r>
        <w:t xml:space="preserve">I </w:t>
      </w:r>
      <w:r w:rsidR="00D300F8">
        <w:t>forskerinitierte</w:t>
      </w:r>
      <w:r>
        <w:t xml:space="preserve"> studier er sponsor ansvarlig for gjennomføringen av studien, og bruker egne ressurser og/eller ressurser fra forskningsstøtte. Finansiering må sikres fra egen institusjon eller fra ulike eksterne kilder som Norges forskningsråd, </w:t>
      </w:r>
      <w:r w:rsidR="009126A5">
        <w:t>RHF</w:t>
      </w:r>
      <w:r>
        <w:t>, ulike stiftelser osv</w:t>
      </w:r>
      <w:r w:rsidRPr="00673A8F">
        <w:t>. Ettersom kvalitetskravene i akademisk forskning er blitt nokså like dem for industristudier, er akademiske studier blitt mer komplekse å gjennomføre</w:t>
      </w:r>
      <w:r w:rsidR="00422045" w:rsidRPr="00673A8F">
        <w:t xml:space="preserve"> enn tidligere</w:t>
      </w:r>
      <w:r w:rsidRPr="00673A8F">
        <w:t xml:space="preserve">. Det </w:t>
      </w:r>
      <w:r w:rsidR="00422045" w:rsidRPr="00673A8F">
        <w:t xml:space="preserve">stilles </w:t>
      </w:r>
      <w:r w:rsidRPr="00673A8F">
        <w:t xml:space="preserve">økende krav til ansvarlig institusjon og </w:t>
      </w:r>
      <w:r w:rsidR="00422045" w:rsidRPr="00673A8F">
        <w:t xml:space="preserve">til </w:t>
      </w:r>
      <w:r w:rsidRPr="00673A8F">
        <w:rPr>
          <w:color w:val="auto"/>
        </w:rPr>
        <w:t>pro</w:t>
      </w:r>
      <w:r w:rsidR="00EE0C3E" w:rsidRPr="00673A8F">
        <w:rPr>
          <w:color w:val="auto"/>
        </w:rPr>
        <w:t>sjektleder</w:t>
      </w:r>
      <w:r w:rsidR="006415B5" w:rsidRPr="00673A8F">
        <w:rPr>
          <w:color w:val="auto"/>
        </w:rPr>
        <w:t xml:space="preserve"> både i forkant av og underveis i prosjektene</w:t>
      </w:r>
      <w:r w:rsidR="00EE0C3E" w:rsidRPr="00673A8F">
        <w:rPr>
          <w:color w:val="auto"/>
        </w:rPr>
        <w:t xml:space="preserve">. </w:t>
      </w:r>
      <w:r w:rsidR="004C17AA" w:rsidRPr="00673A8F">
        <w:rPr>
          <w:color w:val="auto"/>
        </w:rPr>
        <w:t xml:space="preserve">Det er her viktig med </w:t>
      </w:r>
      <w:r w:rsidR="00406330" w:rsidRPr="00673A8F">
        <w:rPr>
          <w:color w:val="auto"/>
        </w:rPr>
        <w:t xml:space="preserve">en god </w:t>
      </w:r>
      <w:r w:rsidR="00D300F8">
        <w:rPr>
          <w:color w:val="auto"/>
        </w:rPr>
        <w:t>f</w:t>
      </w:r>
      <w:r w:rsidR="00585F08" w:rsidRPr="00673A8F">
        <w:rPr>
          <w:color w:val="auto"/>
        </w:rPr>
        <w:t>orskningsstøtte</w:t>
      </w:r>
      <w:r w:rsidR="00406330" w:rsidRPr="00673A8F">
        <w:rPr>
          <w:color w:val="auto"/>
        </w:rPr>
        <w:t>-enhet</w:t>
      </w:r>
      <w:r w:rsidR="004C17AA" w:rsidRPr="00673A8F">
        <w:rPr>
          <w:color w:val="auto"/>
        </w:rPr>
        <w:t>, som</w:t>
      </w:r>
      <w:r w:rsidR="00585F08" w:rsidRPr="00673A8F">
        <w:rPr>
          <w:color w:val="auto"/>
        </w:rPr>
        <w:t xml:space="preserve"> kan bistå </w:t>
      </w:r>
      <w:r w:rsidR="00405232" w:rsidRPr="00673A8F">
        <w:rPr>
          <w:color w:val="auto"/>
        </w:rPr>
        <w:t xml:space="preserve">med hjelp </w:t>
      </w:r>
      <w:r w:rsidR="00B7637B" w:rsidRPr="00673A8F">
        <w:rPr>
          <w:color w:val="auto"/>
        </w:rPr>
        <w:t>til søknad om midler, skriving</w:t>
      </w:r>
      <w:r w:rsidRPr="00673A8F">
        <w:rPr>
          <w:color w:val="auto"/>
        </w:rPr>
        <w:t xml:space="preserve"> av protokoll, monitorering, </w:t>
      </w:r>
      <w:r w:rsidR="00EE0C3E" w:rsidRPr="00673A8F">
        <w:rPr>
          <w:color w:val="auto"/>
        </w:rPr>
        <w:t xml:space="preserve">datahåndtering og statistikk. I mange studier, og spesielt i </w:t>
      </w:r>
      <w:r w:rsidRPr="00673A8F">
        <w:rPr>
          <w:color w:val="auto"/>
        </w:rPr>
        <w:t>internasjonale studier</w:t>
      </w:r>
      <w:r w:rsidR="00EE0C3E" w:rsidRPr="00673A8F">
        <w:rPr>
          <w:color w:val="auto"/>
        </w:rPr>
        <w:t>,</w:t>
      </w:r>
      <w:r w:rsidR="00EE0C3E" w:rsidRPr="002141E4">
        <w:rPr>
          <w:color w:val="auto"/>
        </w:rPr>
        <w:t xml:space="preserve"> trengs</w:t>
      </w:r>
      <w:r w:rsidRPr="002141E4">
        <w:rPr>
          <w:color w:val="auto"/>
        </w:rPr>
        <w:t xml:space="preserve"> </w:t>
      </w:r>
      <w:r w:rsidR="00967B58">
        <w:rPr>
          <w:color w:val="auto"/>
        </w:rPr>
        <w:t xml:space="preserve">også </w:t>
      </w:r>
      <w:r w:rsidRPr="002141E4">
        <w:rPr>
          <w:color w:val="auto"/>
        </w:rPr>
        <w:t>juridisk kompetanse for å sette opp avtaler med sentra og utprøvere i andre land.</w:t>
      </w:r>
      <w:r w:rsidR="00FD7F7E" w:rsidRPr="002141E4">
        <w:rPr>
          <w:color w:val="auto"/>
        </w:rPr>
        <w:t xml:space="preserve"> Institusjonen, ved prosjektleder, er ansvarlig for å ivareta sponsors helhetlige ansvar for</w:t>
      </w:r>
      <w:r w:rsidR="00154A0E" w:rsidRPr="002141E4">
        <w:rPr>
          <w:color w:val="auto"/>
        </w:rPr>
        <w:t xml:space="preserve"> studien. Det innebærer også et prosjektlederansvar, </w:t>
      </w:r>
      <w:r w:rsidR="00FD7F7E" w:rsidRPr="002141E4">
        <w:rPr>
          <w:color w:val="auto"/>
        </w:rPr>
        <w:t xml:space="preserve">dvs. </w:t>
      </w:r>
      <w:r w:rsidR="00967B58">
        <w:rPr>
          <w:color w:val="auto"/>
        </w:rPr>
        <w:t xml:space="preserve">man må </w:t>
      </w:r>
      <w:r w:rsidR="00154A0E" w:rsidRPr="002141E4">
        <w:rPr>
          <w:color w:val="auto"/>
        </w:rPr>
        <w:t>sikre at studien har tilstrekkelig med ressurser og kompetanse</w:t>
      </w:r>
      <w:r w:rsidR="006519E2" w:rsidRPr="002141E4">
        <w:rPr>
          <w:color w:val="auto"/>
        </w:rPr>
        <w:t>, og blir</w:t>
      </w:r>
      <w:r w:rsidR="00FD7F7E" w:rsidRPr="002141E4">
        <w:rPr>
          <w:color w:val="auto"/>
        </w:rPr>
        <w:t xml:space="preserve"> </w:t>
      </w:r>
      <w:r w:rsidR="006519E2" w:rsidRPr="002141E4">
        <w:rPr>
          <w:color w:val="auto"/>
        </w:rPr>
        <w:t>gjennomført</w:t>
      </w:r>
      <w:r w:rsidR="00FD7F7E" w:rsidRPr="002141E4">
        <w:rPr>
          <w:color w:val="auto"/>
        </w:rPr>
        <w:t xml:space="preserve"> iht. gjeldende lovverk, GCP og </w:t>
      </w:r>
      <w:r w:rsidR="00C91652">
        <w:rPr>
          <w:color w:val="auto"/>
        </w:rPr>
        <w:t>studie</w:t>
      </w:r>
      <w:r w:rsidR="00FD7F7E" w:rsidRPr="002141E4">
        <w:rPr>
          <w:color w:val="auto"/>
        </w:rPr>
        <w:t>protokoll.</w:t>
      </w:r>
    </w:p>
    <w:p w14:paraId="6C16C008" w14:textId="79E5F06F" w:rsidR="00A80582" w:rsidRDefault="00A80582" w:rsidP="00A80582">
      <w:r>
        <w:t>Figuren under viser typiske faser og aktiviteter for en akademisk klinisk studie</w:t>
      </w:r>
      <w:r w:rsidR="00FD7ACE">
        <w:t xml:space="preserve"> med et legemiddel. Begreper og faser er også relevante for andre typer intervensjonsstudier</w:t>
      </w:r>
      <w:r w:rsidR="0094064D">
        <w:t xml:space="preserve">. </w:t>
      </w:r>
      <w:r>
        <w:t>Tidsaksen viser rekkefølgen av aktivitetene, men gjenspeiler ikke nødvendigheten av varigheten av ulike faser. Alle studier har en planleggingsfase, en rekrutterings</w:t>
      </w:r>
      <w:r w:rsidR="00C57230">
        <w:t>-</w:t>
      </w:r>
      <w:r>
        <w:t xml:space="preserve"> eller gjennomføringsfase, som går til låsing av databasen, og en avslutnings- eller rapporterings-fase. Varigheten av den siste fasen kan være nokså åpen, da det på forhånd er vanskelig å tidfeste en eller flere publikasjoner fra studien. Kilde: NorCRIN.</w:t>
      </w:r>
      <w:r w:rsidR="00C91652">
        <w:t>no</w:t>
      </w:r>
    </w:p>
    <w:p w14:paraId="707D1820" w14:textId="74C35E5C" w:rsidR="00A80582" w:rsidRDefault="00F131A5" w:rsidP="00A80582">
      <w:r w:rsidRPr="00F131A5">
        <w:rPr>
          <w:noProof/>
          <w:lang w:bidi="ar-SA"/>
        </w:rPr>
        <w:drawing>
          <wp:inline distT="0" distB="0" distL="0" distR="0" wp14:anchorId="0607D6AD" wp14:editId="699E8A98">
            <wp:extent cx="5760720" cy="3198495"/>
            <wp:effectExtent l="0" t="0" r="0" b="1905"/>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3198495"/>
                    </a:xfrm>
                    <a:prstGeom prst="rect">
                      <a:avLst/>
                    </a:prstGeom>
                  </pic:spPr>
                </pic:pic>
              </a:graphicData>
            </a:graphic>
          </wp:inline>
        </w:drawing>
      </w:r>
    </w:p>
    <w:p w14:paraId="0A137DC3" w14:textId="0930A832" w:rsidR="00A80582" w:rsidRDefault="003F4A6A" w:rsidP="00A80582">
      <w:pPr>
        <w:rPr>
          <w:b/>
          <w:sz w:val="20"/>
        </w:rPr>
      </w:pPr>
      <w:r>
        <w:rPr>
          <w:b/>
          <w:sz w:val="20"/>
        </w:rPr>
        <w:t>Fig 1</w:t>
      </w:r>
      <w:r w:rsidR="00A80582" w:rsidRPr="00A80582">
        <w:rPr>
          <w:b/>
          <w:sz w:val="20"/>
        </w:rPr>
        <w:t>: Flytskjema for en akademisk studie</w:t>
      </w:r>
      <w:r w:rsidR="00D300F8">
        <w:rPr>
          <w:b/>
          <w:sz w:val="20"/>
        </w:rPr>
        <w:t>, fra</w:t>
      </w:r>
      <w:r w:rsidR="00D300F8">
        <w:t xml:space="preserve"> NorCRIN.no</w:t>
      </w:r>
    </w:p>
    <w:p w14:paraId="28CC5851" w14:textId="77777777" w:rsidR="00A80582" w:rsidRDefault="00A80582" w:rsidP="00A80582">
      <w:pPr>
        <w:rPr>
          <w:b/>
          <w:sz w:val="20"/>
        </w:rPr>
      </w:pPr>
    </w:p>
    <w:p w14:paraId="6D9B8911" w14:textId="7AF9567F" w:rsidR="00FA50A0" w:rsidRPr="002141E4" w:rsidRDefault="00604D76" w:rsidP="00C55FD8">
      <w:r w:rsidRPr="002141E4">
        <w:t>I mange studier</w:t>
      </w:r>
      <w:r w:rsidR="00A9151A" w:rsidRPr="002141E4">
        <w:t xml:space="preserve"> inngår ulike legemidler, og når</w:t>
      </w:r>
      <w:r w:rsidRPr="002141E4">
        <w:t xml:space="preserve"> slike studier skal kjøres blindet, er det </w:t>
      </w:r>
      <w:r w:rsidR="002141E4">
        <w:t xml:space="preserve">i en del studier </w:t>
      </w:r>
      <w:r w:rsidRPr="002141E4">
        <w:t>utfo</w:t>
      </w:r>
      <w:r w:rsidR="00A9151A" w:rsidRPr="002141E4">
        <w:t>rdringer knyttet til å skaffe</w:t>
      </w:r>
      <w:r w:rsidRPr="002141E4">
        <w:t xml:space="preserve"> legemidlene i studien slik at blinding opprettholdes.</w:t>
      </w:r>
      <w:r w:rsidR="00A9151A" w:rsidRPr="002141E4">
        <w:t xml:space="preserve"> Studiemedikamentene, </w:t>
      </w:r>
      <w:r w:rsidR="003E3D92">
        <w:t xml:space="preserve">med </w:t>
      </w:r>
      <w:r w:rsidR="00A9151A" w:rsidRPr="002141E4">
        <w:t>aktiv</w:t>
      </w:r>
      <w:r w:rsidR="003E3D92">
        <w:t xml:space="preserve"> substans eller</w:t>
      </w:r>
      <w:r w:rsidR="00A9151A" w:rsidRPr="002141E4">
        <w:t xml:space="preserve"> placebo, må i mange studier lages spesielt for formålet. Dette krever at avtaler </w:t>
      </w:r>
      <w:r w:rsidR="00E04E28">
        <w:t xml:space="preserve">med aktuelle produsenter </w:t>
      </w:r>
      <w:r w:rsidR="00A9151A" w:rsidRPr="002141E4">
        <w:t>inngås</w:t>
      </w:r>
      <w:r w:rsidR="00E04E28">
        <w:t xml:space="preserve"> og</w:t>
      </w:r>
      <w:r w:rsidR="00A9151A" w:rsidRPr="002141E4">
        <w:t xml:space="preserve"> flere slike studier er </w:t>
      </w:r>
      <w:r w:rsidR="00E04E28">
        <w:t xml:space="preserve">f.eks. lokale </w:t>
      </w:r>
      <w:r w:rsidR="00A9151A" w:rsidRPr="002141E4">
        <w:t>sykehusapotek involvert. Produksjon/tilvirkning og import/eksport av legemidler må følge strenge regler</w:t>
      </w:r>
      <w:r w:rsidR="00E60F05">
        <w:t xml:space="preserve"> og er noe som sykehusapotekene </w:t>
      </w:r>
      <w:r w:rsidR="009907D9">
        <w:t>har godkjenning for og kompetanse på</w:t>
      </w:r>
      <w:r w:rsidR="00A9151A" w:rsidRPr="002141E4">
        <w:t xml:space="preserve">. Det er en rutine for dette på NorCRIN.no, se SOP </w:t>
      </w:r>
      <w:r w:rsidR="00D9412A">
        <w:t>CT 2.07</w:t>
      </w:r>
      <w:r w:rsidR="00A9151A" w:rsidRPr="002141E4">
        <w:t>. Proses</w:t>
      </w:r>
      <w:r w:rsidR="00D927D2" w:rsidRPr="002141E4">
        <w:t>sen krever kunnskap og tar tid</w:t>
      </w:r>
      <w:r w:rsidR="00C95402">
        <w:t xml:space="preserve"> og </w:t>
      </w:r>
      <w:r w:rsidR="008C5F84">
        <w:t xml:space="preserve">er også </w:t>
      </w:r>
      <w:r w:rsidR="00C95402">
        <w:t>noe som forskningsstøtte kan bidra med.</w:t>
      </w:r>
      <w:r w:rsidR="00FA50A0" w:rsidRPr="002141E4">
        <w:rPr>
          <w:i/>
        </w:rPr>
        <w:t xml:space="preserve"> </w:t>
      </w:r>
    </w:p>
    <w:p w14:paraId="077B3953" w14:textId="6D654735" w:rsidR="00113DAC" w:rsidRPr="007A43AB" w:rsidRDefault="00B32079" w:rsidP="00C55FD8">
      <w:r>
        <w:t>Serviceavdelinger som l</w:t>
      </w:r>
      <w:r w:rsidR="0004376A" w:rsidRPr="002141E4">
        <w:t>ab</w:t>
      </w:r>
      <w:r w:rsidR="008A6463">
        <w:t xml:space="preserve">, </w:t>
      </w:r>
      <w:r w:rsidR="000607A1">
        <w:t>patologi</w:t>
      </w:r>
      <w:r w:rsidR="0004376A" w:rsidRPr="002141E4">
        <w:t xml:space="preserve"> og biobank</w:t>
      </w:r>
      <w:r w:rsidR="00376148" w:rsidRPr="002141E4">
        <w:t xml:space="preserve"> </w:t>
      </w:r>
      <w:r w:rsidR="000607A1">
        <w:t>er ofte</w:t>
      </w:r>
      <w:r w:rsidR="00D300F8">
        <w:t xml:space="preserve"> </w:t>
      </w:r>
      <w:r w:rsidR="00376148" w:rsidRPr="002141E4">
        <w:t>flaskehalser</w:t>
      </w:r>
      <w:r w:rsidR="008A6463">
        <w:t xml:space="preserve">. </w:t>
      </w:r>
      <w:r w:rsidR="0014645D">
        <w:t>F.eks. kan blodprøvetaking</w:t>
      </w:r>
      <w:r w:rsidR="00376148" w:rsidRPr="002141E4">
        <w:t xml:space="preserve"> i forskning kan være vanskelig for lab som </w:t>
      </w:r>
      <w:r w:rsidR="003D63AD">
        <w:t xml:space="preserve">også </w:t>
      </w:r>
      <w:r w:rsidR="00376148" w:rsidRPr="002141E4">
        <w:t>tar prøver i normal behandling. Egen avtale må inngås, og l</w:t>
      </w:r>
      <w:r w:rsidR="00376148" w:rsidRPr="003768F3">
        <w:t>ab må «si ja» til å ta</w:t>
      </w:r>
      <w:r w:rsidR="00C2337A">
        <w:t>,</w:t>
      </w:r>
      <w:r w:rsidR="00376148" w:rsidRPr="003768F3">
        <w:t xml:space="preserve"> prosessere </w:t>
      </w:r>
      <w:r w:rsidR="00C2337A">
        <w:t xml:space="preserve">og evt. forsendelse av </w:t>
      </w:r>
      <w:r w:rsidR="00376148" w:rsidRPr="003768F3">
        <w:t>prøver.</w:t>
      </w:r>
      <w:r w:rsidR="00A9151A" w:rsidRPr="003768F3">
        <w:t xml:space="preserve"> Ofte er tilgjengelighet på bioingeniører en utfordring for studier som har prøvetaking utenfor </w:t>
      </w:r>
      <w:r w:rsidR="00A9151A" w:rsidRPr="00DF5FE8">
        <w:t>ordinær arbeidstid</w:t>
      </w:r>
      <w:r w:rsidR="0094064D" w:rsidRPr="002317CC">
        <w:t>, eksempler kan være studier på akutte tilstander</w:t>
      </w:r>
      <w:r w:rsidR="00A9151A" w:rsidRPr="00C62085">
        <w:t>.</w:t>
      </w:r>
      <w:r w:rsidR="0004376A" w:rsidRPr="00C62085">
        <w:t xml:space="preserve"> Fryserkapasitet kan også være en </w:t>
      </w:r>
      <w:r w:rsidR="00CC00F0" w:rsidRPr="00D64707">
        <w:t>utfordring</w:t>
      </w:r>
      <w:r w:rsidR="0004376A" w:rsidRPr="00A64CD8">
        <w:t>.</w:t>
      </w:r>
      <w:r w:rsidR="00D300F8">
        <w:t xml:space="preserve"> </w:t>
      </w:r>
      <w:r w:rsidR="00CC00F0" w:rsidRPr="00972439">
        <w:t xml:space="preserve">Det ville være en fordel om standard prøver til forskning kunne bestilles gjennom </w:t>
      </w:r>
      <w:r w:rsidR="00972439">
        <w:t>sykehusene sine</w:t>
      </w:r>
      <w:r w:rsidR="00972439" w:rsidRPr="00972439">
        <w:t xml:space="preserve"> </w:t>
      </w:r>
      <w:r w:rsidR="00CC00F0" w:rsidRPr="00972439">
        <w:t>vanlige prosedyrer for prøvetaking.</w:t>
      </w:r>
    </w:p>
    <w:p w14:paraId="107D0982" w14:textId="16361411" w:rsidR="00113DAC" w:rsidRPr="007A43AB" w:rsidRDefault="00113DAC" w:rsidP="00C55FD8">
      <w:r w:rsidRPr="002141E4">
        <w:t>Kapasitet innenfor radiologi</w:t>
      </w:r>
      <w:r w:rsidRPr="007A43AB">
        <w:t xml:space="preserve"> (CT, MR) har tidvis vært, og er til dels fortsatt</w:t>
      </w:r>
      <w:r w:rsidR="00D300F8">
        <w:t xml:space="preserve"> </w:t>
      </w:r>
      <w:bookmarkStart w:id="15" w:name="_Hlk194306015"/>
      <w:r w:rsidR="00D300F8">
        <w:t>(2024/2025)</w:t>
      </w:r>
      <w:r w:rsidRPr="007A43AB">
        <w:t xml:space="preserve">, </w:t>
      </w:r>
      <w:bookmarkEnd w:id="15"/>
      <w:r w:rsidRPr="007A43AB">
        <w:t xml:space="preserve">en flaskehals for kliniske studier, og det er lagt ned en betydelig innsats </w:t>
      </w:r>
      <w:r w:rsidR="002D171B">
        <w:t xml:space="preserve">i </w:t>
      </w:r>
      <w:r w:rsidR="00DB5C56">
        <w:t xml:space="preserve">mange sykehus/HF </w:t>
      </w:r>
      <w:r w:rsidRPr="007A43AB">
        <w:t xml:space="preserve">for å gjøre det enklere og raskere å få på plass avtaler om radiologi.  </w:t>
      </w:r>
    </w:p>
    <w:p w14:paraId="326CD3A0" w14:textId="66B02B0B" w:rsidR="00F40303" w:rsidRDefault="00113DAC" w:rsidP="00C55FD8">
      <w:r>
        <w:t>AP11 har i sitt arbeid notert at det kan være e</w:t>
      </w:r>
      <w:r w:rsidR="00F40303" w:rsidRPr="00FE71A8">
        <w:t>nklere å få til logistikk for prøver i forskning på mindre sykehus</w:t>
      </w:r>
      <w:r>
        <w:t>, da det er lettere å få støtte fra ledelsen til samarbeid på tvers av ulike enheter</w:t>
      </w:r>
      <w:r w:rsidR="00F40303" w:rsidRPr="00FE71A8">
        <w:t xml:space="preserve">. </w:t>
      </w:r>
    </w:p>
    <w:p w14:paraId="6681B64A" w14:textId="2EF7F046" w:rsidR="00C55FD8" w:rsidRDefault="00C55FD8" w:rsidP="0049770D">
      <w:pPr>
        <w:pStyle w:val="Overskrift4"/>
      </w:pPr>
      <w:r>
        <w:t>Industri</w:t>
      </w:r>
      <w:r w:rsidR="00154A0E">
        <w:t>-</w:t>
      </w:r>
      <w:r w:rsidR="00A82BFB">
        <w:t xml:space="preserve">initierte </w:t>
      </w:r>
      <w:r w:rsidR="00803CD9">
        <w:t>legemiddel</w:t>
      </w:r>
      <w:r>
        <w:t>studier</w:t>
      </w:r>
    </w:p>
    <w:p w14:paraId="193B3397" w14:textId="01418325" w:rsidR="00C55FD8" w:rsidRDefault="00FD7F7E" w:rsidP="00C55FD8">
      <w:r>
        <w:t>Industri</w:t>
      </w:r>
      <w:r w:rsidR="00516ECA">
        <w:t>studier</w:t>
      </w:r>
      <w:r>
        <w:t xml:space="preserve">-, </w:t>
      </w:r>
      <w:r w:rsidR="00516ECA">
        <w:t xml:space="preserve">også kalt </w:t>
      </w:r>
      <w:r>
        <w:t xml:space="preserve">oppdragsstudier, kjennetegnes ved at et kommersielt selskap er sponsor, og eier dataene som </w:t>
      </w:r>
      <w:proofErr w:type="gramStart"/>
      <w:r>
        <w:t>genereres</w:t>
      </w:r>
      <w:proofErr w:type="gramEnd"/>
      <w:r>
        <w:t xml:space="preserve"> i studien. </w:t>
      </w:r>
      <w:r w:rsidR="00C55FD8">
        <w:t>I industristudier vil oppdragsgiver sørge for finansiering og mye av den praktiske gjennomføringen</w:t>
      </w:r>
      <w:r w:rsidR="00CE3F32">
        <w:t>:</w:t>
      </w:r>
      <w:r w:rsidR="00C55FD8">
        <w:t xml:space="preserve"> Sykehusene bidrar som utprøvende senter, behandler pasienter og skaffer resultater slik protokollen foreskriver. </w:t>
      </w:r>
      <w:r w:rsidR="00154A0E">
        <w:t>Myndighetskontakt, m</w:t>
      </w:r>
      <w:r w:rsidR="00C55FD8">
        <w:t>onitorering, datahåndtering og statistikk</w:t>
      </w:r>
      <w:r w:rsidR="00D300F8">
        <w:t xml:space="preserve"> </w:t>
      </w:r>
      <w:r>
        <w:t>og sponsors styring av studien/prosjektet</w:t>
      </w:r>
      <w:r w:rsidR="00C55FD8">
        <w:t xml:space="preserve"> gjøres av sponsor</w:t>
      </w:r>
      <w:r w:rsidR="00A17139">
        <w:t xml:space="preserve"> selv</w:t>
      </w:r>
      <w:r w:rsidR="00C55FD8">
        <w:t xml:space="preserve"> eller et eksternt CRO</w:t>
      </w:r>
      <w:r w:rsidR="00A17139">
        <w:t>- firma (</w:t>
      </w:r>
      <w:proofErr w:type="spellStart"/>
      <w:r w:rsidR="00AC22C7">
        <w:t>Contract</w:t>
      </w:r>
      <w:proofErr w:type="spellEnd"/>
      <w:r w:rsidR="00AC22C7">
        <w:t xml:space="preserve"> </w:t>
      </w:r>
      <w:r w:rsidR="00A17139">
        <w:t xml:space="preserve">Research </w:t>
      </w:r>
      <w:proofErr w:type="spellStart"/>
      <w:r w:rsidR="00A17139">
        <w:t>Organi</w:t>
      </w:r>
      <w:r w:rsidR="00AC22C7">
        <w:t>s</w:t>
      </w:r>
      <w:r w:rsidR="00A17139">
        <w:t>ation</w:t>
      </w:r>
      <w:proofErr w:type="spellEnd"/>
      <w:r w:rsidR="00A17139">
        <w:t>).</w:t>
      </w:r>
    </w:p>
    <w:p w14:paraId="58433F0E" w14:textId="68C7DC4F" w:rsidR="00D840CB" w:rsidRDefault="00C55FD8" w:rsidP="00C55FD8">
      <w:r>
        <w:t xml:space="preserve">For industrien vil tidsfaktoren, dvs. rask gjennomføring av studien, nesten alltid være svært viktig. </w:t>
      </w:r>
      <w:r w:rsidR="00CE3F32">
        <w:t>Dette u</w:t>
      </w:r>
      <w:r>
        <w:t xml:space="preserve">t fra en betraktning om at rask utvikling og tidlig </w:t>
      </w:r>
      <w:r w:rsidR="00154A0E">
        <w:t>markeds</w:t>
      </w:r>
      <w:r>
        <w:t>introduksjon av et nytt legemiddel</w:t>
      </w:r>
      <w:r w:rsidR="00154A0E">
        <w:t>,</w:t>
      </w:r>
      <w:r>
        <w:t xml:space="preserve"> gir økte inntekter for selskapet. Industrien ønsker derfor raske svar på forespørsler om </w:t>
      </w:r>
      <w:r w:rsidR="00450A17">
        <w:t xml:space="preserve">de utprøvende </w:t>
      </w:r>
      <w:r>
        <w:t xml:space="preserve">sentrene vil delta og har aktuelle pasientgrupper og </w:t>
      </w:r>
      <w:r w:rsidR="00450A17">
        <w:t xml:space="preserve">om </w:t>
      </w:r>
      <w:r>
        <w:t xml:space="preserve">kan gjennomføre de prosedyrer protokollen foreskriver </w:t>
      </w:r>
    </w:p>
    <w:p w14:paraId="0F36E141" w14:textId="68F3D775" w:rsidR="00C55FD8" w:rsidRDefault="007172B7" w:rsidP="00C55FD8">
      <w:r>
        <w:rPr>
          <w:noProof/>
          <w:lang w:bidi="ar-SA"/>
        </w:rPr>
        <w:lastRenderedPageBreak/>
        <mc:AlternateContent>
          <mc:Choice Requires="wps">
            <w:drawing>
              <wp:anchor distT="45720" distB="45720" distL="114300" distR="114300" simplePos="0" relativeHeight="251659264" behindDoc="0" locked="0" layoutInCell="1" allowOverlap="1" wp14:anchorId="1656FCD7" wp14:editId="7E57093B">
                <wp:simplePos x="0" y="0"/>
                <wp:positionH relativeFrom="page">
                  <wp:posOffset>4465320</wp:posOffset>
                </wp:positionH>
                <wp:positionV relativeFrom="paragraph">
                  <wp:posOffset>3175</wp:posOffset>
                </wp:positionV>
                <wp:extent cx="2360930" cy="1404620"/>
                <wp:effectExtent l="0" t="0" r="19685" b="2794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DC1F9F9" w14:textId="72B46B97" w:rsidR="00DE011B" w:rsidRPr="007172B7" w:rsidRDefault="00DE011B">
                            <w:r w:rsidRPr="007172B7">
                              <w:rPr>
                                <w:iCs/>
                                <w:color w:val="1F497D"/>
                              </w:rPr>
                              <w:t>Ahus datavarehus er et system hvor data fra alle basissystemer (elektronisk pasientjournal, elektronisk kurvesystem, bemanningsplansystem etc.) samles i én database og gjøres raskt og enkelt tilgjengelig for bruk til forskning og andre formål. Her kan data prepareres, kombineres og presenteres i ulike formater for ulike prosjekter avhengig av hva som er best for formålet. Datavarehuset har «innebygget personvern» og innehar alle regulatoriske godkjenninger for det formålet det har på Ahus.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56FCD7" id="_x0000_t202" coordsize="21600,21600" o:spt="202" path="m,l,21600r21600,l21600,xe">
                <v:stroke joinstyle="miter"/>
                <v:path gradientshapeok="t" o:connecttype="rect"/>
              </v:shapetype>
              <v:shape id="Tekstboks 2" o:spid="_x0000_s1026" type="#_x0000_t202" style="position:absolute;margin-left:351.6pt;margin-top:.25pt;width:185.9pt;height:110.6pt;z-index:251659264;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">
                <v:textbox style="mso-fit-shape-to-text:t">
                  <w:txbxContent>
                    <w:p w14:paraId="0DC1F9F9" w14:textId="72B46B97" w:rsidR="00DE011B" w:rsidRPr="007172B7" w:rsidRDefault="00DE011B">
                      <w:r w:rsidRPr="007172B7">
                        <w:rPr>
                          <w:iCs/>
                          <w:color w:val="1F497D"/>
                        </w:rPr>
                        <w:t>Ahus datavarehus er et system hvor data fra alle basissystemer (elektronisk pasientjournal, elektronisk kurvesystem, bemanningsplansystem etc.) samles i én database og gjøres raskt og enkelt tilgjengelig for bruk til forskning og andre formål. Her kan data prepareres, kombineres og presenteres i ulike formater for ulike prosjekter avhengig av hva som er best for formålet. Datavarehuset har «innebygget personvern» og innehar alle regulatoriske godkjenninger for det formålet det har på Ahus.</w:t>
                      </w:r>
                    </w:p>
                  </w:txbxContent>
                </v:textbox>
                <w10:wrap type="square" anchorx="page"/>
              </v:shape>
            </w:pict>
          </mc:Fallback>
        </mc:AlternateContent>
      </w:r>
      <w:r w:rsidR="00C55FD8">
        <w:t>Industrien ønsker å få avtaler på plass raskt</w:t>
      </w:r>
      <w:r w:rsidR="00781D72">
        <w:t xml:space="preserve"> i tillegg til </w:t>
      </w:r>
      <w:r w:rsidR="00C55FD8">
        <w:t xml:space="preserve">sikkerhet for at studien gjennomføres innenfor avtalte rammer, noe som forutsetter at </w:t>
      </w:r>
      <w:r w:rsidR="00D54A7E">
        <w:t xml:space="preserve">antall </w:t>
      </w:r>
      <w:r w:rsidR="00C55FD8">
        <w:t xml:space="preserve">studiedeltakere/pasienter rekrutteres som avtalt. Tilgang på radiologi og lab, og </w:t>
      </w:r>
      <w:r w:rsidR="004E2CD3">
        <w:t>spesielle</w:t>
      </w:r>
      <w:r w:rsidR="00C55FD8">
        <w:t xml:space="preserve"> analysemetoder, er en forutsetning for deltakelse i mange studier. </w:t>
      </w:r>
    </w:p>
    <w:p w14:paraId="722DD0CD" w14:textId="46DBFC6F" w:rsidR="007F594D" w:rsidRDefault="001E6E83" w:rsidP="00821450">
      <w:r>
        <w:t>Sykehusene</w:t>
      </w:r>
      <w:r w:rsidRPr="00B34F22">
        <w:t xml:space="preserve"> </w:t>
      </w:r>
      <w:r w:rsidR="0066524E" w:rsidRPr="00B34F22">
        <w:t>må ha ressurs</w:t>
      </w:r>
      <w:r w:rsidR="00D840CB">
        <w:t>er</w:t>
      </w:r>
      <w:r w:rsidR="0066524E" w:rsidRPr="00B34F22">
        <w:t xml:space="preserve"> som </w:t>
      </w:r>
      <w:r w:rsidR="003E67CA">
        <w:t xml:space="preserve">raskt </w:t>
      </w:r>
      <w:r w:rsidR="0066524E" w:rsidRPr="00B34F22">
        <w:t xml:space="preserve">kan ta </w:t>
      </w:r>
      <w:r w:rsidR="009A1580">
        <w:t xml:space="preserve">svare ut </w:t>
      </w:r>
      <w:r w:rsidR="0066524E" w:rsidRPr="00B34F22">
        <w:t>forespørsel</w:t>
      </w:r>
      <w:r w:rsidR="00B06F19">
        <w:t xml:space="preserve"> om deltakelse i en klinisk studie</w:t>
      </w:r>
      <w:r w:rsidR="009A1580">
        <w:t xml:space="preserve"> (feasibility)</w:t>
      </w:r>
      <w:r w:rsidR="0066524E" w:rsidRPr="00B34F22">
        <w:t xml:space="preserve">, og </w:t>
      </w:r>
      <w:r w:rsidR="009A1580">
        <w:t>det aktuelle fag</w:t>
      </w:r>
      <w:r w:rsidR="0066524E" w:rsidRPr="00B34F22">
        <w:t xml:space="preserve">miljøet må ha interesse av forskningsspørsmålet. </w:t>
      </w:r>
      <w:r w:rsidR="00B32079">
        <w:t>E</w:t>
      </w:r>
      <w:r w:rsidR="00F251DF">
        <w:t>n</w:t>
      </w:r>
      <w:r w:rsidR="00B32079">
        <w:t xml:space="preserve"> s</w:t>
      </w:r>
      <w:r w:rsidR="00B32079" w:rsidRPr="00B34F22">
        <w:t xml:space="preserve">tudiesykepleiere </w:t>
      </w:r>
      <w:r w:rsidR="00D840CB">
        <w:t xml:space="preserve">eller –koordinator </w:t>
      </w:r>
      <w:r w:rsidR="00B32079">
        <w:t xml:space="preserve">vil </w:t>
      </w:r>
      <w:r w:rsidR="00D840CB">
        <w:t>kjapt kunne svare ut</w:t>
      </w:r>
      <w:r w:rsidR="00B32079">
        <w:t xml:space="preserve"> en</w:t>
      </w:r>
      <w:r w:rsidR="00D840CB">
        <w:t xml:space="preserve"> feasibility, og rigge studien lokalt</w:t>
      </w:r>
      <w:r w:rsidR="00B32079">
        <w:t xml:space="preserve"> (</w:t>
      </w:r>
      <w:r w:rsidR="00D840CB">
        <w:t xml:space="preserve">finne egnede lokaler og sette </w:t>
      </w:r>
      <w:r w:rsidR="0066524E" w:rsidRPr="00B34F22">
        <w:t>opp avtaler m</w:t>
      </w:r>
      <w:r w:rsidR="00B32079">
        <w:t>ed</w:t>
      </w:r>
      <w:r w:rsidR="0066524E" w:rsidRPr="00B34F22">
        <w:t xml:space="preserve"> serviceavdelinger</w:t>
      </w:r>
      <w:r w:rsidR="00B32079">
        <w:t>)</w:t>
      </w:r>
      <w:r w:rsidR="0066524E" w:rsidRPr="00B34F22">
        <w:t xml:space="preserve">. Pasienter må identifiseres, og </w:t>
      </w:r>
      <w:r w:rsidR="0093319C">
        <w:t xml:space="preserve">i dag kan </w:t>
      </w:r>
      <w:r w:rsidR="0066524E" w:rsidRPr="00B34F22">
        <w:t>man kan ikke</w:t>
      </w:r>
      <w:r w:rsidR="00D840CB">
        <w:t xml:space="preserve"> </w:t>
      </w:r>
      <w:r w:rsidR="0093319C">
        <w:t>uten videre</w:t>
      </w:r>
      <w:r w:rsidR="0066524E" w:rsidRPr="00B34F22">
        <w:t xml:space="preserve"> slå opp i </w:t>
      </w:r>
      <w:r w:rsidR="007F594D">
        <w:t xml:space="preserve">en </w:t>
      </w:r>
      <w:r w:rsidR="0066524E" w:rsidRPr="00B34F22">
        <w:t>journal</w:t>
      </w:r>
      <w:r w:rsidR="00D840CB">
        <w:t xml:space="preserve"> for et slikt formål</w:t>
      </w:r>
      <w:r w:rsidR="0066524E" w:rsidRPr="00B34F22">
        <w:t xml:space="preserve">. </w:t>
      </w:r>
    </w:p>
    <w:p w14:paraId="601DE6FD" w14:textId="77777777" w:rsidR="007F594D" w:rsidRDefault="007F594D" w:rsidP="00821450"/>
    <w:p w14:paraId="1CFA30FA" w14:textId="7DE89EB8" w:rsidR="00A80582" w:rsidRPr="00B34F22" w:rsidRDefault="0066524E" w:rsidP="00821450">
      <w:r w:rsidRPr="001C1E27">
        <w:t>Et</w:t>
      </w:r>
      <w:r w:rsidRPr="001C1E27">
        <w:rPr>
          <w:i/>
        </w:rPr>
        <w:t xml:space="preserve"> diagnose/pasientregister</w:t>
      </w:r>
      <w:r w:rsidRPr="001C1E27">
        <w:t xml:space="preserve"> ville vært veldig nyttig, vil kunne sikre tilgang på aktuelle pasienter.</w:t>
      </w:r>
    </w:p>
    <w:p w14:paraId="38351631" w14:textId="3757F293" w:rsidR="00EA12CF" w:rsidRPr="00B34F22" w:rsidRDefault="001842F0" w:rsidP="00821450">
      <w:r>
        <w:t>Akershus universitetssykehus (</w:t>
      </w:r>
      <w:r w:rsidR="0066524E" w:rsidRPr="00B34F22">
        <w:t>Ahus</w:t>
      </w:r>
      <w:r>
        <w:t>)</w:t>
      </w:r>
      <w:r w:rsidR="0066524E" w:rsidRPr="00B34F22">
        <w:t xml:space="preserve"> har </w:t>
      </w:r>
      <w:r w:rsidR="007172B7">
        <w:t xml:space="preserve">utviklet et eget </w:t>
      </w:r>
      <w:r>
        <w:t xml:space="preserve">såkalt </w:t>
      </w:r>
      <w:r w:rsidR="0066524E" w:rsidRPr="00B34F22">
        <w:t>datavarehus</w:t>
      </w:r>
      <w:r w:rsidR="007172B7">
        <w:t>, se faktaboks,</w:t>
      </w:r>
      <w:r w:rsidR="0066524E" w:rsidRPr="00B34F22">
        <w:t xml:space="preserve"> og de</w:t>
      </w:r>
      <w:r w:rsidR="00FE71A8" w:rsidRPr="00B34F22">
        <w:t xml:space="preserve">rfra kan </w:t>
      </w:r>
      <w:r w:rsidR="003935A7" w:rsidRPr="00B34F22">
        <w:t>a</w:t>
      </w:r>
      <w:r w:rsidR="003935A7">
        <w:t xml:space="preserve">ktuelle </w:t>
      </w:r>
      <w:r w:rsidR="00FE71A8" w:rsidRPr="00B34F22">
        <w:t>pasienter identifiseres</w:t>
      </w:r>
      <w:r w:rsidR="00D11BCE" w:rsidRPr="00B34F22">
        <w:t xml:space="preserve"> </w:t>
      </w:r>
      <w:r w:rsidR="003935A7">
        <w:t>for</w:t>
      </w:r>
      <w:r w:rsidR="003935A7" w:rsidRPr="00B34F22">
        <w:t xml:space="preserve"> </w:t>
      </w:r>
      <w:r w:rsidR="00D11BCE" w:rsidRPr="00B34F22">
        <w:t>en feasibility</w:t>
      </w:r>
      <w:r w:rsidR="0066524E" w:rsidRPr="00B34F22">
        <w:t xml:space="preserve">. </w:t>
      </w:r>
      <w:r w:rsidR="00D11BCE" w:rsidRPr="00B34F22">
        <w:t>For St</w:t>
      </w:r>
      <w:r w:rsidR="001C1025">
        <w:t xml:space="preserve">. </w:t>
      </w:r>
      <w:r w:rsidR="00D11BCE" w:rsidRPr="00B34F22">
        <w:t>Olavs</w:t>
      </w:r>
      <w:r w:rsidR="003E687B">
        <w:t xml:space="preserve"> Hospital</w:t>
      </w:r>
      <w:r w:rsidR="00D11BCE" w:rsidRPr="00B34F22">
        <w:t xml:space="preserve"> vil de</w:t>
      </w:r>
      <w:r w:rsidR="00D300F8">
        <w:t>t</w:t>
      </w:r>
      <w:r w:rsidR="00D11BCE" w:rsidRPr="00B34F22">
        <w:t xml:space="preserve"> nye</w:t>
      </w:r>
      <w:r w:rsidR="00005372">
        <w:t xml:space="preserve"> journalsystemet</w:t>
      </w:r>
      <w:r w:rsidR="00D11BCE" w:rsidRPr="00B34F22">
        <w:t xml:space="preserve"> Helseplattformen ha </w:t>
      </w:r>
      <w:r w:rsidR="003E687B">
        <w:t>tilsvarende</w:t>
      </w:r>
      <w:r w:rsidR="003E687B" w:rsidRPr="00B34F22">
        <w:t xml:space="preserve"> </w:t>
      </w:r>
      <w:r w:rsidR="00D11BCE" w:rsidRPr="00B34F22">
        <w:t>funksjonalitet.</w:t>
      </w:r>
      <w:r w:rsidR="00EA12CF" w:rsidRPr="00B34F22">
        <w:t xml:space="preserve"> S</w:t>
      </w:r>
      <w:r w:rsidR="00CC34F6">
        <w:t>tavanger universitetssjukehus (S</w:t>
      </w:r>
      <w:r w:rsidR="00EA12CF" w:rsidRPr="00B34F22">
        <w:t>US</w:t>
      </w:r>
      <w:r w:rsidR="00CC34F6">
        <w:t>)</w:t>
      </w:r>
      <w:r w:rsidR="00EA12CF" w:rsidRPr="00B34F22">
        <w:t xml:space="preserve"> har også et klin</w:t>
      </w:r>
      <w:r w:rsidR="006415B5">
        <w:t>isk</w:t>
      </w:r>
      <w:r w:rsidR="00EA12CF" w:rsidRPr="00B34F22">
        <w:t xml:space="preserve"> datavarehus under utvikling. </w:t>
      </w:r>
    </w:p>
    <w:p w14:paraId="730707A7" w14:textId="7A3D9380" w:rsidR="0066524E" w:rsidRPr="00B34F22" w:rsidRDefault="00EA12CF" w:rsidP="00821450">
      <w:bookmarkStart w:id="16" w:name="_Hlk194306291"/>
      <w:r w:rsidRPr="00B34F22">
        <w:t>Nevro</w:t>
      </w:r>
      <w:r w:rsidR="00D300F8">
        <w:t>klinikken på OUS</w:t>
      </w:r>
      <w:r w:rsidRPr="00B34F22">
        <w:t xml:space="preserve"> </w:t>
      </w:r>
      <w:bookmarkEnd w:id="16"/>
      <w:r w:rsidRPr="00B34F22">
        <w:t xml:space="preserve">har bedt om samtykke fra sine pasienter til å opprette et prospektivt register i </w:t>
      </w:r>
      <w:proofErr w:type="spellStart"/>
      <w:r w:rsidRPr="00B34F22">
        <w:t>MedInsight</w:t>
      </w:r>
      <w:proofErr w:type="spellEnd"/>
      <w:r w:rsidRPr="00B34F22">
        <w:t xml:space="preserve"> (et </w:t>
      </w:r>
      <w:r w:rsidR="00C62085">
        <w:t xml:space="preserve">lokalt </w:t>
      </w:r>
      <w:r w:rsidRPr="00B34F22">
        <w:t>registersystem for forskning</w:t>
      </w:r>
      <w:r w:rsidR="00B34F22" w:rsidRPr="00B34F22">
        <w:t xml:space="preserve"> </w:t>
      </w:r>
      <w:r w:rsidR="007172B7">
        <w:t xml:space="preserve">eller kvalitet), der pasienters ID </w:t>
      </w:r>
      <w:r w:rsidR="00C62085">
        <w:t>og annen helse</w:t>
      </w:r>
      <w:r w:rsidRPr="00B34F22">
        <w:t>info</w:t>
      </w:r>
      <w:r w:rsidR="00C62085">
        <w:t>rmasjon</w:t>
      </w:r>
      <w:r w:rsidRPr="00B34F22">
        <w:t xml:space="preserve"> legges inn. Dette kan man søke i for å gjøre </w:t>
      </w:r>
      <w:r w:rsidR="007172B7">
        <w:t>en rask</w:t>
      </w:r>
      <w:r w:rsidRPr="00B34F22">
        <w:t xml:space="preserve"> feasibility. I pasientjournal</w:t>
      </w:r>
      <w:r w:rsidR="0073529F">
        <w:t>en</w:t>
      </w:r>
      <w:r w:rsidRPr="00B34F22">
        <w:t xml:space="preserve"> kan man</w:t>
      </w:r>
      <w:r w:rsidR="0073529F">
        <w:t xml:space="preserve"> imidlertid</w:t>
      </w:r>
      <w:r w:rsidRPr="00B34F22">
        <w:t xml:space="preserve"> ikke registrer</w:t>
      </w:r>
      <w:r w:rsidR="00C62085">
        <w:t>e</w:t>
      </w:r>
      <w:r w:rsidRPr="00B34F22">
        <w:t xml:space="preserve"> hvorvidt en pasient er spurt og har takket nei til å være i dette registeret. </w:t>
      </w:r>
    </w:p>
    <w:p w14:paraId="4D4693FC" w14:textId="6B801185" w:rsidR="00D11BCE" w:rsidRDefault="00C62085" w:rsidP="00821450">
      <w:r>
        <w:t>NorT</w:t>
      </w:r>
      <w:r w:rsidR="00092FD6">
        <w:t>rials</w:t>
      </w:r>
      <w:r w:rsidR="00D11BCE">
        <w:t xml:space="preserve"> </w:t>
      </w:r>
      <w:r w:rsidR="0009669B">
        <w:t>har etablert</w:t>
      </w:r>
      <w:r w:rsidR="00D11BCE">
        <w:t xml:space="preserve"> diagnosespesifikke nettverk, for å kunne gjennomføre feasibility på en rask og god måte.</w:t>
      </w:r>
      <w:r w:rsidR="0009669B">
        <w:t xml:space="preserve"> </w:t>
      </w:r>
    </w:p>
    <w:p w14:paraId="5662177D" w14:textId="53EC4718" w:rsidR="00EA12CF" w:rsidRDefault="00EA12CF" w:rsidP="00821450">
      <w:r w:rsidRPr="001C1E27">
        <w:t>Personvern og IT-sikkerhet ved ulike HF</w:t>
      </w:r>
      <w:r w:rsidR="00565A46" w:rsidRPr="001C1E27">
        <w:t xml:space="preserve"> og sykehus</w:t>
      </w:r>
      <w:r w:rsidRPr="001C1E27">
        <w:t xml:space="preserve"> har ulike standarder – det er en utfordring at ikke alle systemer</w:t>
      </w:r>
      <w:r w:rsidR="00CC34F6" w:rsidRPr="001C1E27">
        <w:t xml:space="preserve">, eksempelvis verktøy for datafangst i kliniske studier, </w:t>
      </w:r>
      <w:r w:rsidRPr="001C1E27">
        <w:t xml:space="preserve">tillates brukt </w:t>
      </w:r>
      <w:r w:rsidR="00AD158A" w:rsidRPr="001C1E27">
        <w:t>a</w:t>
      </w:r>
      <w:r w:rsidRPr="001C1E27">
        <w:t>v alle HF.</w:t>
      </w:r>
    </w:p>
    <w:p w14:paraId="221DF85E" w14:textId="10DDFA5E" w:rsidR="002E54A9" w:rsidRDefault="00CE3F32" w:rsidP="00821450">
      <w:pPr>
        <w:rPr>
          <w:color w:val="auto"/>
        </w:rPr>
      </w:pPr>
      <w:r>
        <w:rPr>
          <w:color w:val="auto"/>
        </w:rPr>
        <w:t xml:space="preserve">I </w:t>
      </w:r>
      <w:proofErr w:type="spellStart"/>
      <w:r w:rsidR="007A7C67">
        <w:rPr>
          <w:color w:val="auto"/>
        </w:rPr>
        <w:t>HFene</w:t>
      </w:r>
      <w:proofErr w:type="spellEnd"/>
      <w:r w:rsidR="007A7C67">
        <w:rPr>
          <w:color w:val="auto"/>
        </w:rPr>
        <w:t xml:space="preserve"> </w:t>
      </w:r>
      <w:r>
        <w:rPr>
          <w:color w:val="auto"/>
        </w:rPr>
        <w:t>vil i</w:t>
      </w:r>
      <w:r w:rsidR="002E54A9" w:rsidRPr="002E54A9">
        <w:rPr>
          <w:color w:val="auto"/>
        </w:rPr>
        <w:t xml:space="preserve">ntern lagring av data </w:t>
      </w:r>
      <w:r>
        <w:rPr>
          <w:color w:val="auto"/>
        </w:rPr>
        <w:t xml:space="preserve">medføre at </w:t>
      </w:r>
      <w:r w:rsidR="00E004AD">
        <w:rPr>
          <w:color w:val="auto"/>
        </w:rPr>
        <w:t xml:space="preserve">nasjonale </w:t>
      </w:r>
      <w:r>
        <w:rPr>
          <w:color w:val="auto"/>
        </w:rPr>
        <w:t xml:space="preserve">data </w:t>
      </w:r>
      <w:r w:rsidR="002E54A9" w:rsidRPr="002E54A9">
        <w:rPr>
          <w:color w:val="auto"/>
        </w:rPr>
        <w:t>ligge</w:t>
      </w:r>
      <w:r>
        <w:rPr>
          <w:color w:val="auto"/>
        </w:rPr>
        <w:t>r</w:t>
      </w:r>
      <w:r w:rsidR="00E004AD">
        <w:rPr>
          <w:color w:val="auto"/>
        </w:rPr>
        <w:t xml:space="preserve"> lagret</w:t>
      </w:r>
      <w:r w:rsidR="002E54A9" w:rsidRPr="002E54A9">
        <w:rPr>
          <w:color w:val="auto"/>
        </w:rPr>
        <w:t xml:space="preserve"> i ulike systemer, men det </w:t>
      </w:r>
      <w:r w:rsidR="00E004AD">
        <w:rPr>
          <w:color w:val="auto"/>
        </w:rPr>
        <w:t>burde</w:t>
      </w:r>
      <w:r w:rsidR="00E004AD" w:rsidRPr="002E54A9">
        <w:rPr>
          <w:color w:val="auto"/>
        </w:rPr>
        <w:t xml:space="preserve"> </w:t>
      </w:r>
      <w:r w:rsidR="002E54A9" w:rsidRPr="002E54A9">
        <w:rPr>
          <w:color w:val="auto"/>
        </w:rPr>
        <w:t>være mulig å aggregere data</w:t>
      </w:r>
      <w:r w:rsidR="00E004AD">
        <w:rPr>
          <w:color w:val="auto"/>
        </w:rPr>
        <w:t xml:space="preserve"> til </w:t>
      </w:r>
      <w:r w:rsidR="002E54A9" w:rsidRPr="002E54A9">
        <w:rPr>
          <w:color w:val="auto"/>
        </w:rPr>
        <w:t xml:space="preserve">nasjonale studier. </w:t>
      </w:r>
    </w:p>
    <w:p w14:paraId="6DB8A7DB" w14:textId="77C59505" w:rsidR="005627BA" w:rsidRPr="002E54A9" w:rsidRDefault="005627BA" w:rsidP="00821450">
      <w:pPr>
        <w:rPr>
          <w:color w:val="auto"/>
        </w:rPr>
      </w:pPr>
      <w:r>
        <w:rPr>
          <w:color w:val="auto"/>
        </w:rPr>
        <w:t xml:space="preserve">Flere av disse utfordringene er også relevante for </w:t>
      </w:r>
      <w:r w:rsidR="00664898">
        <w:rPr>
          <w:color w:val="auto"/>
        </w:rPr>
        <w:t xml:space="preserve">andre typer intervensjonsstudier. </w:t>
      </w:r>
    </w:p>
    <w:p w14:paraId="4535AC47" w14:textId="245E5D13" w:rsidR="00731C0E" w:rsidRPr="00731C0E" w:rsidRDefault="00C55FD8" w:rsidP="00803CD9">
      <w:pPr>
        <w:pStyle w:val="Overskrift4"/>
      </w:pPr>
      <w:r>
        <w:t>U</w:t>
      </w:r>
      <w:r w:rsidR="00731C0E">
        <w:t>tviklingsløp</w:t>
      </w:r>
      <w:r w:rsidR="00803CD9">
        <w:t xml:space="preserve"> legemiddelstudier</w:t>
      </w:r>
      <w:r>
        <w:t xml:space="preserve"> – fase I til IV</w:t>
      </w:r>
    </w:p>
    <w:p w14:paraId="371F083E" w14:textId="22ECDE64" w:rsidR="00731C0E" w:rsidRDefault="00284D84" w:rsidP="00731C0E">
      <w:pPr>
        <w:rPr>
          <w:color w:val="auto"/>
        </w:rPr>
      </w:pPr>
      <w:r>
        <w:t>De</w:t>
      </w:r>
      <w:r w:rsidR="00731C0E" w:rsidRPr="003714EA">
        <w:t xml:space="preserve"> fleste fase I studier har</w:t>
      </w:r>
      <w:r w:rsidR="00731C0E">
        <w:t xml:space="preserve"> e</w:t>
      </w:r>
      <w:r w:rsidR="00731C0E" w:rsidRPr="003714EA">
        <w:t xml:space="preserve">n </w:t>
      </w:r>
      <w:r w:rsidR="00731C0E">
        <w:t>komm</w:t>
      </w:r>
      <w:r w:rsidR="00731C0E" w:rsidRPr="003714EA">
        <w:t xml:space="preserve">ersiell sponsor, som ønsker </w:t>
      </w:r>
      <w:r w:rsidR="00731C0E">
        <w:t xml:space="preserve">å </w:t>
      </w:r>
      <w:r w:rsidR="00731C0E" w:rsidRPr="003714EA">
        <w:t>teste ut en ny substans i mennesker.</w:t>
      </w:r>
      <w:r w:rsidR="00731C0E" w:rsidRPr="00B523B9">
        <w:t xml:space="preserve"> </w:t>
      </w:r>
      <w:r w:rsidR="00731C0E" w:rsidRPr="00921CA9">
        <w:rPr>
          <w:color w:val="auto"/>
        </w:rPr>
        <w:t xml:space="preserve">For legemiddelstudier kreves det spesiell medisinsk kompetanse og erfaring med denne typen studier, som kan involvere friske frivillige eller pasienter. En oppdragsgiver vil trenge tilgang på kompetanse innenfor farmakokinetikk (PK), farmakodynamikk (PD), innhenting av ulike typer prøver (blod, </w:t>
      </w:r>
      <w:proofErr w:type="spellStart"/>
      <w:r w:rsidR="00731C0E" w:rsidRPr="00921CA9">
        <w:rPr>
          <w:color w:val="auto"/>
        </w:rPr>
        <w:t>feces</w:t>
      </w:r>
      <w:proofErr w:type="spellEnd"/>
      <w:r w:rsidR="00731C0E" w:rsidRPr="00921CA9">
        <w:rPr>
          <w:color w:val="auto"/>
        </w:rPr>
        <w:t>, urin, vev, osv</w:t>
      </w:r>
      <w:r w:rsidR="00CE7606">
        <w:rPr>
          <w:color w:val="auto"/>
        </w:rPr>
        <w:t>.</w:t>
      </w:r>
      <w:r w:rsidR="00731C0E" w:rsidRPr="00921CA9">
        <w:rPr>
          <w:color w:val="auto"/>
        </w:rPr>
        <w:t xml:space="preserve">), </w:t>
      </w:r>
      <w:r w:rsidR="00154A0E" w:rsidRPr="00921CA9">
        <w:rPr>
          <w:color w:val="auto"/>
        </w:rPr>
        <w:t xml:space="preserve">og i stigende grad mer avanserte tester, som </w:t>
      </w:r>
      <w:proofErr w:type="spellStart"/>
      <w:r w:rsidR="00154A0E" w:rsidRPr="00921CA9">
        <w:rPr>
          <w:color w:val="auto"/>
        </w:rPr>
        <w:t>feks</w:t>
      </w:r>
      <w:proofErr w:type="spellEnd"/>
      <w:r w:rsidR="00154A0E" w:rsidRPr="00921CA9">
        <w:rPr>
          <w:color w:val="auto"/>
        </w:rPr>
        <w:t>. genetiske</w:t>
      </w:r>
      <w:r w:rsidR="00731C0E" w:rsidRPr="00921CA9">
        <w:rPr>
          <w:color w:val="auto"/>
        </w:rPr>
        <w:t xml:space="preserve"> analyser. </w:t>
      </w:r>
      <w:r w:rsidR="00154A0E" w:rsidRPr="00921CA9">
        <w:rPr>
          <w:color w:val="auto"/>
        </w:rPr>
        <w:lastRenderedPageBreak/>
        <w:t>Hensikte</w:t>
      </w:r>
      <w:r w:rsidR="00146CD3" w:rsidRPr="00921CA9">
        <w:rPr>
          <w:color w:val="auto"/>
        </w:rPr>
        <w:t>n med fase I er tradisjonelt å få en første</w:t>
      </w:r>
      <w:r w:rsidR="00154A0E" w:rsidRPr="00921CA9">
        <w:rPr>
          <w:color w:val="auto"/>
        </w:rPr>
        <w:t xml:space="preserve"> erfaring med sikkerhet og bivirkninger av et nytt produkt</w:t>
      </w:r>
      <w:r w:rsidR="00146CD3" w:rsidRPr="00921CA9">
        <w:rPr>
          <w:color w:val="auto"/>
        </w:rPr>
        <w:t xml:space="preserve">. Styringen av fase I-studier kan være </w:t>
      </w:r>
      <w:r w:rsidR="00AD158A" w:rsidRPr="00921CA9">
        <w:rPr>
          <w:color w:val="auto"/>
        </w:rPr>
        <w:t>komplekse</w:t>
      </w:r>
      <w:r w:rsidR="00146CD3" w:rsidRPr="00921CA9">
        <w:rPr>
          <w:color w:val="auto"/>
        </w:rPr>
        <w:t xml:space="preserve">, med uttesting av ulike dosenivåer, løpende vurdering av bivirkninger, og koordinering av rekruttering </w:t>
      </w:r>
      <w:r w:rsidR="006519E2" w:rsidRPr="00921CA9">
        <w:rPr>
          <w:color w:val="auto"/>
        </w:rPr>
        <w:t>av forsø</w:t>
      </w:r>
      <w:r w:rsidR="00146CD3" w:rsidRPr="00921CA9">
        <w:rPr>
          <w:color w:val="auto"/>
        </w:rPr>
        <w:t>kspersoner og rensing av data frem mot planlagte møter i sikkerhetskomitéen.</w:t>
      </w:r>
      <w:r w:rsidR="006519E2" w:rsidRPr="00921CA9">
        <w:rPr>
          <w:color w:val="auto"/>
        </w:rPr>
        <w:t xml:space="preserve"> Forsøkspersonene følges ofte døgnkontinuerlig i perioden etter at legemiddel er gitt.</w:t>
      </w:r>
    </w:p>
    <w:p w14:paraId="535578F1" w14:textId="77777777" w:rsidR="00C62085" w:rsidRDefault="00C62085" w:rsidP="00731C0E">
      <w:pPr>
        <w:rPr>
          <w:color w:val="auto"/>
        </w:rPr>
      </w:pPr>
    </w:p>
    <w:p w14:paraId="13A282BD" w14:textId="562F16F4" w:rsidR="007172B7" w:rsidRPr="007172B7" w:rsidRDefault="00565A46" w:rsidP="00731C0E">
      <w:pPr>
        <w:rPr>
          <w:color w:val="auto"/>
        </w:rPr>
      </w:pPr>
      <w:r w:rsidRPr="00684336">
        <w:rPr>
          <w:b/>
          <w:color w:val="auto"/>
        </w:rPr>
        <w:t>Fase I studier</w:t>
      </w:r>
      <w:r w:rsidRPr="007172B7">
        <w:rPr>
          <w:color w:val="auto"/>
        </w:rPr>
        <w:t xml:space="preserve"> gjøres på forskningspostene, men kan også gjennomføres ute i klinikk. </w:t>
      </w:r>
      <w:r w:rsidR="00850E80">
        <w:rPr>
          <w:color w:val="auto"/>
        </w:rPr>
        <w:t>Det er i kartleggingen</w:t>
      </w:r>
      <w:r w:rsidRPr="007172B7">
        <w:rPr>
          <w:color w:val="auto"/>
        </w:rPr>
        <w:t xml:space="preserve"> ikke registrert at manglende kompetanse er flaskehals for gjennomføring av fase I-studier.</w:t>
      </w:r>
      <w:r w:rsidR="007172B7">
        <w:rPr>
          <w:color w:val="auto"/>
        </w:rPr>
        <w:t xml:space="preserve"> </w:t>
      </w:r>
    </w:p>
    <w:p w14:paraId="3C8C144E" w14:textId="5C44518D" w:rsidR="00731C0E" w:rsidRPr="00C62085" w:rsidRDefault="00F872BF" w:rsidP="00C62085">
      <w:pPr>
        <w:pStyle w:val="Merknadstekst"/>
        <w:rPr>
          <w:sz w:val="22"/>
          <w:lang w:val="en-US"/>
        </w:rPr>
      </w:pPr>
      <w:r w:rsidRPr="00F872BF">
        <w:rPr>
          <w:sz w:val="22"/>
        </w:rPr>
        <w:t xml:space="preserve">Rapporten fra AP7 </w:t>
      </w:r>
      <w:r w:rsidR="00762DA4">
        <w:rPr>
          <w:sz w:val="22"/>
        </w:rPr>
        <w:t>i</w:t>
      </w:r>
      <w:r w:rsidR="00762DA4" w:rsidRPr="00F872BF">
        <w:rPr>
          <w:sz w:val="22"/>
        </w:rPr>
        <w:t xml:space="preserve"> </w:t>
      </w:r>
      <w:r w:rsidRPr="00F872BF">
        <w:rPr>
          <w:sz w:val="22"/>
        </w:rPr>
        <w:t xml:space="preserve">NorCRIN </w:t>
      </w:r>
      <w:r w:rsidR="00762DA4">
        <w:rPr>
          <w:sz w:val="22"/>
        </w:rPr>
        <w:t>1</w:t>
      </w:r>
      <w:r w:rsidR="00762DA4" w:rsidRPr="00F872BF">
        <w:rPr>
          <w:sz w:val="22"/>
        </w:rPr>
        <w:t xml:space="preserve"> </w:t>
      </w:r>
      <w:r w:rsidRPr="00F872BF">
        <w:rPr>
          <w:sz w:val="22"/>
        </w:rPr>
        <w:t>gir anbefalinger for hvilke krav som b</w:t>
      </w:r>
      <w:r>
        <w:rPr>
          <w:sz w:val="22"/>
        </w:rPr>
        <w:t xml:space="preserve">ør stilles til fase I-enheter i Norge, og peker spesielt på krav knyttet til å gjennomføre «first in man» studier, dvs. studier der et legemiddel gis til mennesker for første gang. </w:t>
      </w:r>
      <w:r w:rsidRPr="00F872BF">
        <w:rPr>
          <w:sz w:val="22"/>
        </w:rPr>
        <w:t xml:space="preserve">AP7 anbefalte at Statens </w:t>
      </w:r>
      <w:r w:rsidR="003359D2">
        <w:rPr>
          <w:sz w:val="22"/>
        </w:rPr>
        <w:t>l</w:t>
      </w:r>
      <w:r w:rsidRPr="00F872BF">
        <w:rPr>
          <w:sz w:val="22"/>
        </w:rPr>
        <w:t xml:space="preserve">egemiddelverk </w:t>
      </w:r>
      <w:bookmarkStart w:id="17" w:name="_Hlk194306486"/>
      <w:r w:rsidRPr="00F872BF">
        <w:rPr>
          <w:sz w:val="22"/>
        </w:rPr>
        <w:t>(</w:t>
      </w:r>
      <w:r w:rsidR="003359D2">
        <w:rPr>
          <w:sz w:val="22"/>
        </w:rPr>
        <w:t>fra 1. jan 2024</w:t>
      </w:r>
      <w:bookmarkEnd w:id="17"/>
      <w:r w:rsidRPr="00F872BF">
        <w:rPr>
          <w:sz w:val="22"/>
        </w:rPr>
        <w:t xml:space="preserve"> Direktoratet for medisin</w:t>
      </w:r>
      <w:r>
        <w:rPr>
          <w:sz w:val="22"/>
        </w:rPr>
        <w:t>s</w:t>
      </w:r>
      <w:r w:rsidRPr="00F872BF">
        <w:rPr>
          <w:sz w:val="22"/>
        </w:rPr>
        <w:t>ke produkt</w:t>
      </w:r>
      <w:r>
        <w:rPr>
          <w:sz w:val="22"/>
        </w:rPr>
        <w:t>er</w:t>
      </w:r>
      <w:r w:rsidR="00C96C76">
        <w:rPr>
          <w:sz w:val="22"/>
        </w:rPr>
        <w:t xml:space="preserve">) </w:t>
      </w:r>
      <w:r>
        <w:rPr>
          <w:sz w:val="22"/>
        </w:rPr>
        <w:t xml:space="preserve">gir en offisiell akkreditering/godkjenning til slike enheter, men en slik ordning er </w:t>
      </w:r>
      <w:r w:rsidR="00762DA4">
        <w:rPr>
          <w:sz w:val="22"/>
        </w:rPr>
        <w:t xml:space="preserve">p.t. </w:t>
      </w:r>
      <w:r>
        <w:rPr>
          <w:sz w:val="22"/>
        </w:rPr>
        <w:t xml:space="preserve">ikke på plass. </w:t>
      </w:r>
      <w:r w:rsidR="00CC34F6" w:rsidRPr="00C62085">
        <w:rPr>
          <w:sz w:val="22"/>
          <w:lang w:val="en-US"/>
        </w:rPr>
        <w:t>(</w:t>
      </w:r>
      <w:r w:rsidR="00935540">
        <w:rPr>
          <w:sz w:val="22"/>
          <w:lang w:val="en-US"/>
        </w:rPr>
        <w:t>Kilde</w:t>
      </w:r>
      <w:r w:rsidR="00CC34F6" w:rsidRPr="00C62085">
        <w:rPr>
          <w:sz w:val="22"/>
          <w:lang w:val="en-US"/>
        </w:rPr>
        <w:t xml:space="preserve">: Proposal for requirements at Early Phase Clinical Trials Units in Norway, 29th </w:t>
      </w:r>
      <w:proofErr w:type="gramStart"/>
      <w:r w:rsidR="00CC34F6" w:rsidRPr="00C62085">
        <w:rPr>
          <w:sz w:val="22"/>
          <w:lang w:val="en-US"/>
        </w:rPr>
        <w:t>April,</w:t>
      </w:r>
      <w:proofErr w:type="gramEnd"/>
      <w:r w:rsidR="00CC34F6" w:rsidRPr="00C62085">
        <w:rPr>
          <w:sz w:val="22"/>
          <w:lang w:val="en-US"/>
        </w:rPr>
        <w:t xml:space="preserve"> 2018. </w:t>
      </w:r>
      <w:r w:rsidR="00CC34F6" w:rsidRPr="00935540">
        <w:rPr>
          <w:sz w:val="22"/>
          <w:lang w:val="en-US"/>
        </w:rPr>
        <w:t>Hasse Khiabani Zaré et al</w:t>
      </w:r>
      <w:r w:rsidR="00CC34F6" w:rsidRPr="00C62085">
        <w:rPr>
          <w:sz w:val="22"/>
          <w:lang w:val="en-US"/>
        </w:rPr>
        <w:t>).</w:t>
      </w:r>
    </w:p>
    <w:p w14:paraId="527843A8" w14:textId="763ECC7A" w:rsidR="00B34F22" w:rsidRPr="00DF6531" w:rsidRDefault="00F046F4" w:rsidP="00731C0E">
      <w:pPr>
        <w:rPr>
          <w:color w:val="auto"/>
          <w:lang w:val="en-US"/>
        </w:rPr>
      </w:pPr>
      <w:r w:rsidRPr="00DF6531">
        <w:rPr>
          <w:color w:val="auto"/>
          <w:lang w:val="en-US"/>
        </w:rPr>
        <w:t>N</w:t>
      </w:r>
      <w:r w:rsidR="00C62085" w:rsidRPr="00DF6531">
        <w:rPr>
          <w:color w:val="auto"/>
          <w:lang w:val="en-US"/>
        </w:rPr>
        <w:t xml:space="preserve">orCRIN </w:t>
      </w:r>
      <w:proofErr w:type="spellStart"/>
      <w:r w:rsidR="00C62085" w:rsidRPr="00DF6531">
        <w:rPr>
          <w:color w:val="auto"/>
          <w:lang w:val="en-US"/>
        </w:rPr>
        <w:t>har</w:t>
      </w:r>
      <w:proofErr w:type="spellEnd"/>
      <w:r w:rsidR="00C62085" w:rsidRPr="00DF6531">
        <w:rPr>
          <w:color w:val="auto"/>
          <w:lang w:val="en-US"/>
        </w:rPr>
        <w:t xml:space="preserve"> </w:t>
      </w:r>
      <w:proofErr w:type="spellStart"/>
      <w:r w:rsidR="00C62085" w:rsidRPr="00DF6531">
        <w:rPr>
          <w:color w:val="auto"/>
          <w:lang w:val="en-US"/>
        </w:rPr>
        <w:t>en</w:t>
      </w:r>
      <w:proofErr w:type="spellEnd"/>
      <w:r w:rsidR="00C62085" w:rsidRPr="00DF6531">
        <w:rPr>
          <w:color w:val="auto"/>
          <w:lang w:val="en-US"/>
        </w:rPr>
        <w:t xml:space="preserve"> </w:t>
      </w:r>
      <w:proofErr w:type="spellStart"/>
      <w:r w:rsidR="00C62085" w:rsidRPr="00DF6531">
        <w:rPr>
          <w:color w:val="auto"/>
          <w:lang w:val="en-US"/>
        </w:rPr>
        <w:t>egen</w:t>
      </w:r>
      <w:proofErr w:type="spellEnd"/>
      <w:r w:rsidR="00C62085" w:rsidRPr="00DF6531">
        <w:rPr>
          <w:color w:val="auto"/>
          <w:lang w:val="en-US"/>
        </w:rPr>
        <w:t xml:space="preserve"> SOP for</w:t>
      </w:r>
      <w:r w:rsidRPr="00DF6531">
        <w:rPr>
          <w:color w:val="auto"/>
          <w:lang w:val="en-US"/>
        </w:rPr>
        <w:t xml:space="preserve"> </w:t>
      </w:r>
      <w:proofErr w:type="spellStart"/>
      <w:r w:rsidRPr="00DF6531">
        <w:rPr>
          <w:color w:val="auto"/>
          <w:lang w:val="en-US"/>
        </w:rPr>
        <w:t>tidlig</w:t>
      </w:r>
      <w:proofErr w:type="spellEnd"/>
      <w:r w:rsidRPr="00DF6531">
        <w:rPr>
          <w:color w:val="auto"/>
          <w:lang w:val="en-US"/>
        </w:rPr>
        <w:t xml:space="preserve"> </w:t>
      </w:r>
      <w:proofErr w:type="spellStart"/>
      <w:r w:rsidRPr="00DF6531">
        <w:rPr>
          <w:color w:val="auto"/>
          <w:lang w:val="en-US"/>
        </w:rPr>
        <w:t>fase</w:t>
      </w:r>
      <w:proofErr w:type="spellEnd"/>
      <w:r w:rsidR="00CE7606" w:rsidRPr="00DF6531">
        <w:rPr>
          <w:color w:val="auto"/>
          <w:lang w:val="en-US"/>
        </w:rPr>
        <w:t xml:space="preserve"> studier – </w:t>
      </w:r>
      <w:r w:rsidR="00CE3F32" w:rsidRPr="00DF6531">
        <w:rPr>
          <w:color w:val="auto"/>
          <w:lang w:val="en-US"/>
        </w:rPr>
        <w:t xml:space="preserve">SOP LM 1.04 </w:t>
      </w:r>
      <w:r w:rsidR="00CE7606" w:rsidRPr="00DF6531">
        <w:rPr>
          <w:color w:val="auto"/>
          <w:lang w:val="en-US"/>
        </w:rPr>
        <w:t>First in Human</w:t>
      </w:r>
      <w:r w:rsidR="00CE3F32" w:rsidRPr="00DF6531">
        <w:rPr>
          <w:color w:val="auto"/>
          <w:lang w:val="en-US"/>
        </w:rPr>
        <w:t xml:space="preserve"> </w:t>
      </w:r>
      <w:r w:rsidR="00C62085" w:rsidRPr="00DF6531">
        <w:rPr>
          <w:color w:val="auto"/>
          <w:lang w:val="en-US"/>
        </w:rPr>
        <w:t>(FIH) and Early P</w:t>
      </w:r>
      <w:r w:rsidR="00CE7606" w:rsidRPr="00DF6531">
        <w:rPr>
          <w:color w:val="auto"/>
          <w:lang w:val="en-US"/>
        </w:rPr>
        <w:t>hase Clinical Trials</w:t>
      </w:r>
      <w:r w:rsidR="00C62085" w:rsidRPr="00DF6531">
        <w:rPr>
          <w:color w:val="auto"/>
          <w:lang w:val="en-US"/>
        </w:rPr>
        <w:t xml:space="preserve">, og </w:t>
      </w:r>
      <w:proofErr w:type="spellStart"/>
      <w:r w:rsidR="00C62085" w:rsidRPr="00DF6531">
        <w:rPr>
          <w:color w:val="auto"/>
          <w:lang w:val="en-US"/>
        </w:rPr>
        <w:t>en</w:t>
      </w:r>
      <w:proofErr w:type="spellEnd"/>
      <w:r w:rsidR="00C62085" w:rsidRPr="00DF6531">
        <w:rPr>
          <w:color w:val="auto"/>
          <w:lang w:val="en-US"/>
        </w:rPr>
        <w:t xml:space="preserve"> Working instruction, </w:t>
      </w:r>
      <w:proofErr w:type="spellStart"/>
      <w:r w:rsidR="00C62085" w:rsidRPr="00DF6531">
        <w:rPr>
          <w:color w:val="auto"/>
          <w:lang w:val="en-US"/>
        </w:rPr>
        <w:t>tilpasset</w:t>
      </w:r>
      <w:proofErr w:type="spellEnd"/>
      <w:r w:rsidR="00C62085" w:rsidRPr="00DF6531">
        <w:rPr>
          <w:color w:val="auto"/>
          <w:lang w:val="en-US"/>
        </w:rPr>
        <w:t xml:space="preserve"> </w:t>
      </w:r>
      <w:proofErr w:type="spellStart"/>
      <w:r w:rsidR="00C62085" w:rsidRPr="00DF6531">
        <w:rPr>
          <w:color w:val="auto"/>
          <w:lang w:val="en-US"/>
        </w:rPr>
        <w:t>nytt</w:t>
      </w:r>
      <w:proofErr w:type="spellEnd"/>
      <w:r w:rsidR="00C62085" w:rsidRPr="00DF6531">
        <w:rPr>
          <w:color w:val="auto"/>
          <w:lang w:val="en-US"/>
        </w:rPr>
        <w:t xml:space="preserve"> </w:t>
      </w:r>
      <w:proofErr w:type="spellStart"/>
      <w:r w:rsidR="00C62085" w:rsidRPr="00DF6531">
        <w:rPr>
          <w:color w:val="auto"/>
          <w:lang w:val="en-US"/>
        </w:rPr>
        <w:t>regelverk</w:t>
      </w:r>
      <w:proofErr w:type="spellEnd"/>
      <w:r w:rsidR="00C62085" w:rsidRPr="00DF6531">
        <w:rPr>
          <w:color w:val="auto"/>
          <w:lang w:val="en-US"/>
        </w:rPr>
        <w:t xml:space="preserve"> </w:t>
      </w:r>
      <w:proofErr w:type="spellStart"/>
      <w:r w:rsidR="00C62085" w:rsidRPr="00DF6531">
        <w:rPr>
          <w:color w:val="auto"/>
          <w:lang w:val="en-US"/>
        </w:rPr>
        <w:t>implementer</w:t>
      </w:r>
      <w:r w:rsidR="003359D2">
        <w:rPr>
          <w:color w:val="auto"/>
          <w:lang w:val="en-US"/>
        </w:rPr>
        <w:t>t</w:t>
      </w:r>
      <w:proofErr w:type="spellEnd"/>
      <w:r w:rsidR="00C62085" w:rsidRPr="00DF6531">
        <w:rPr>
          <w:color w:val="auto"/>
          <w:lang w:val="en-US"/>
        </w:rPr>
        <w:t xml:space="preserve"> i </w:t>
      </w:r>
      <w:proofErr w:type="spellStart"/>
      <w:r w:rsidR="00C62085" w:rsidRPr="00DF6531">
        <w:rPr>
          <w:color w:val="auto"/>
          <w:lang w:val="en-US"/>
        </w:rPr>
        <w:t>januar</w:t>
      </w:r>
      <w:proofErr w:type="spellEnd"/>
      <w:r w:rsidR="00C62085" w:rsidRPr="00DF6531">
        <w:rPr>
          <w:color w:val="auto"/>
          <w:lang w:val="en-US"/>
        </w:rPr>
        <w:t xml:space="preserve"> 2022, WI 1.05 First in Human Early Phase Clinical Trials.</w:t>
      </w:r>
    </w:p>
    <w:p w14:paraId="2081223E" w14:textId="77777777" w:rsidR="00C62085" w:rsidRPr="0071261B" w:rsidRDefault="00C62085" w:rsidP="00731C0E">
      <w:pPr>
        <w:rPr>
          <w:color w:val="auto"/>
          <w:lang w:val="en-US"/>
        </w:rPr>
      </w:pPr>
    </w:p>
    <w:p w14:paraId="58D256E9" w14:textId="54D90FA5" w:rsidR="00146CD3" w:rsidRDefault="00154A0E" w:rsidP="00731C0E">
      <w:pPr>
        <w:rPr>
          <w:color w:val="auto"/>
        </w:rPr>
      </w:pPr>
      <w:r w:rsidRPr="00684336">
        <w:rPr>
          <w:b/>
        </w:rPr>
        <w:t>Fase II</w:t>
      </w:r>
      <w:r w:rsidRPr="007172B7">
        <w:t xml:space="preserve"> </w:t>
      </w:r>
      <w:r w:rsidR="00807FA0">
        <w:t xml:space="preserve">er </w:t>
      </w:r>
      <w:r w:rsidR="00146CD3">
        <w:t xml:space="preserve">tradisjonelt </w:t>
      </w:r>
      <w:r w:rsidR="00807FA0">
        <w:t>betegnelsen på</w:t>
      </w:r>
      <w:r w:rsidR="00146CD3" w:rsidRPr="00146CD3">
        <w:t xml:space="preserve"> studier </w:t>
      </w:r>
      <w:r w:rsidR="00146CD3">
        <w:t>som skal</w:t>
      </w:r>
      <w:r w:rsidRPr="00E41678">
        <w:t xml:space="preserve"> finne riktig dose av et legemiddel, </w:t>
      </w:r>
      <w:r w:rsidR="00146CD3">
        <w:t>og</w:t>
      </w:r>
      <w:r w:rsidR="00807FA0">
        <w:t xml:space="preserve"> der</w:t>
      </w:r>
      <w:r w:rsidR="00146CD3">
        <w:t xml:space="preserve"> både sikkerhet og effekt er i fokus. Fase II skal etablere kunnskapen som trengs for å sette opp hypotesene man vi teste ut i fase III. Fase II </w:t>
      </w:r>
      <w:r w:rsidR="00146CD3" w:rsidRPr="00921CA9">
        <w:rPr>
          <w:color w:val="auto"/>
        </w:rPr>
        <w:t>er ofte komplekse</w:t>
      </w:r>
      <w:r w:rsidR="006519E2" w:rsidRPr="00921CA9">
        <w:rPr>
          <w:color w:val="auto"/>
        </w:rPr>
        <w:t>,</w:t>
      </w:r>
      <w:r w:rsidR="00146CD3" w:rsidRPr="00921CA9">
        <w:rPr>
          <w:color w:val="auto"/>
        </w:rPr>
        <w:t xml:space="preserve"> da mange typer analyser blir gjennomført</w:t>
      </w:r>
      <w:r w:rsidR="006519E2" w:rsidRPr="00921CA9">
        <w:rPr>
          <w:color w:val="auto"/>
        </w:rPr>
        <w:t xml:space="preserve">, og nye analysemetoder i mange tilfeller skal testes og utvikles. Vi ser ofte en kompleks lab-logistikk, med flere type prøver og forsendelse av prøver til interne eller eksterne laboratorier. Også innhenting av prøvesvar og analyse av data fra ulike laber, medfører en betydelig logistikk. </w:t>
      </w:r>
    </w:p>
    <w:p w14:paraId="5A71A39C" w14:textId="77777777" w:rsidR="00284D84" w:rsidRPr="00284D84" w:rsidRDefault="00284D84" w:rsidP="00731C0E">
      <w:pPr>
        <w:rPr>
          <w:color w:val="auto"/>
        </w:rPr>
      </w:pPr>
    </w:p>
    <w:p w14:paraId="185CFEE4" w14:textId="7A69AD26" w:rsidR="00154A0E" w:rsidRPr="00E41678" w:rsidRDefault="00146CD3" w:rsidP="00731C0E">
      <w:pPr>
        <w:rPr>
          <w:color w:val="00B050"/>
        </w:rPr>
      </w:pPr>
      <w:r w:rsidRPr="00684336">
        <w:rPr>
          <w:b/>
        </w:rPr>
        <w:t>Fase III</w:t>
      </w:r>
      <w:r>
        <w:t xml:space="preserve"> </w:t>
      </w:r>
      <w:r w:rsidR="00AD4777">
        <w:t>er</w:t>
      </w:r>
      <w:r>
        <w:t xml:space="preserve"> studier</w:t>
      </w:r>
      <w:r w:rsidR="006519E2">
        <w:t xml:space="preserve"> med ganske store populasjoner</w:t>
      </w:r>
      <w:r>
        <w:t xml:space="preserve">, </w:t>
      </w:r>
      <w:r w:rsidR="006519E2">
        <w:t xml:space="preserve">ofte </w:t>
      </w:r>
      <w:r w:rsidR="00AD4777">
        <w:t xml:space="preserve">med </w:t>
      </w:r>
      <w:r w:rsidR="006519E2">
        <w:t>randomisering og blinding. Fase III kjøres ofte som multisenter-</w:t>
      </w:r>
      <w:r w:rsidR="006519E2" w:rsidRPr="00921CA9">
        <w:rPr>
          <w:color w:val="auto"/>
        </w:rPr>
        <w:t xml:space="preserve">studier, og </w:t>
      </w:r>
      <w:r w:rsidR="002A2554" w:rsidRPr="00921CA9">
        <w:rPr>
          <w:color w:val="auto"/>
        </w:rPr>
        <w:t>for å sikre god styring, har disse ofte u</w:t>
      </w:r>
      <w:r w:rsidR="006519E2" w:rsidRPr="00921CA9">
        <w:rPr>
          <w:color w:val="auto"/>
        </w:rPr>
        <w:t>like komit</w:t>
      </w:r>
      <w:r w:rsidR="002A2554" w:rsidRPr="00921CA9">
        <w:rPr>
          <w:color w:val="auto"/>
        </w:rPr>
        <w:t xml:space="preserve">éer, </w:t>
      </w:r>
      <w:r w:rsidR="00AD4777">
        <w:rPr>
          <w:color w:val="auto"/>
        </w:rPr>
        <w:t>f.eks.</w:t>
      </w:r>
      <w:r w:rsidR="00AD4777" w:rsidRPr="00921CA9">
        <w:rPr>
          <w:color w:val="auto"/>
        </w:rPr>
        <w:t xml:space="preserve"> </w:t>
      </w:r>
      <w:r w:rsidR="002A2554" w:rsidRPr="00921CA9">
        <w:rPr>
          <w:color w:val="auto"/>
        </w:rPr>
        <w:t>styringskomité (</w:t>
      </w:r>
      <w:proofErr w:type="spellStart"/>
      <w:r w:rsidR="002A2554" w:rsidRPr="00921CA9">
        <w:rPr>
          <w:color w:val="auto"/>
        </w:rPr>
        <w:t>Executive</w:t>
      </w:r>
      <w:proofErr w:type="spellEnd"/>
      <w:r w:rsidR="002A2554" w:rsidRPr="00921CA9">
        <w:rPr>
          <w:color w:val="auto"/>
        </w:rPr>
        <w:t xml:space="preserve"> </w:t>
      </w:r>
      <w:proofErr w:type="spellStart"/>
      <w:r w:rsidR="002A2554" w:rsidRPr="00921CA9">
        <w:rPr>
          <w:color w:val="auto"/>
        </w:rPr>
        <w:t>steering</w:t>
      </w:r>
      <w:proofErr w:type="spellEnd"/>
      <w:r w:rsidR="002A2554" w:rsidRPr="00921CA9">
        <w:rPr>
          <w:color w:val="auto"/>
        </w:rPr>
        <w:t xml:space="preserve"> </w:t>
      </w:r>
      <w:proofErr w:type="spellStart"/>
      <w:r w:rsidR="002A2554" w:rsidRPr="00921CA9">
        <w:rPr>
          <w:color w:val="auto"/>
        </w:rPr>
        <w:t>committee</w:t>
      </w:r>
      <w:proofErr w:type="spellEnd"/>
      <w:r w:rsidR="002A2554" w:rsidRPr="00921CA9">
        <w:rPr>
          <w:color w:val="auto"/>
        </w:rPr>
        <w:t>), uavhengig sikkerhetskomité (</w:t>
      </w:r>
      <w:proofErr w:type="spellStart"/>
      <w:r w:rsidR="002A2554" w:rsidRPr="00921CA9">
        <w:rPr>
          <w:color w:val="auto"/>
        </w:rPr>
        <w:t>Independent</w:t>
      </w:r>
      <w:proofErr w:type="spellEnd"/>
      <w:r w:rsidR="002A2554" w:rsidRPr="00921CA9">
        <w:rPr>
          <w:color w:val="auto"/>
        </w:rPr>
        <w:t xml:space="preserve"> Data </w:t>
      </w:r>
      <w:proofErr w:type="spellStart"/>
      <w:r w:rsidR="002A2554" w:rsidRPr="00921CA9">
        <w:rPr>
          <w:color w:val="auto"/>
        </w:rPr>
        <w:t>Monitoring</w:t>
      </w:r>
      <w:proofErr w:type="spellEnd"/>
      <w:r w:rsidR="002A2554" w:rsidRPr="00921CA9">
        <w:rPr>
          <w:color w:val="auto"/>
        </w:rPr>
        <w:t xml:space="preserve"> Committee)</w:t>
      </w:r>
      <w:r w:rsidR="00AD4777">
        <w:rPr>
          <w:color w:val="auto"/>
        </w:rPr>
        <w:t xml:space="preserve"> med </w:t>
      </w:r>
      <w:r w:rsidR="002A2554" w:rsidRPr="00921CA9">
        <w:rPr>
          <w:color w:val="auto"/>
        </w:rPr>
        <w:t>flere</w:t>
      </w:r>
      <w:r w:rsidR="006519E2" w:rsidRPr="00921CA9">
        <w:rPr>
          <w:color w:val="auto"/>
        </w:rPr>
        <w:t xml:space="preserve">. </w:t>
      </w:r>
      <w:r w:rsidRPr="00921CA9">
        <w:rPr>
          <w:color w:val="auto"/>
        </w:rPr>
        <w:t xml:space="preserve"> </w:t>
      </w:r>
    </w:p>
    <w:p w14:paraId="42AB26ED" w14:textId="31BE2704" w:rsidR="002A2554" w:rsidRDefault="002A2554" w:rsidP="00731C0E">
      <w:r w:rsidRPr="00684336">
        <w:rPr>
          <w:b/>
        </w:rPr>
        <w:t>Fase IV</w:t>
      </w:r>
      <w:r>
        <w:t xml:space="preserve"> brukes tradisjonelt om studier som gjennomføres etter at et prod</w:t>
      </w:r>
      <w:r w:rsidR="00A85FE2">
        <w:t xml:space="preserve">ukt er kommet på markedet, for </w:t>
      </w:r>
      <w:r>
        <w:t>å</w:t>
      </w:r>
      <w:r w:rsidR="00A85FE2">
        <w:t xml:space="preserve"> </w:t>
      </w:r>
      <w:r>
        <w:t>følge opp spesielle forhold fra myndighetenes godkjenning, og bruke preparatet/metoden i stadig bredere</w:t>
      </w:r>
      <w:r w:rsidR="00A85FE2">
        <w:t>/videre</w:t>
      </w:r>
      <w:r>
        <w:t xml:space="preserve"> pasientpopulasjoner. Fase IV er i hovedsak industrifinansierte studier.</w:t>
      </w:r>
    </w:p>
    <w:p w14:paraId="66EB821E" w14:textId="77777777" w:rsidR="0056311E" w:rsidRDefault="0056311E" w:rsidP="00731C0E"/>
    <w:p w14:paraId="3B01317B" w14:textId="78B7810F" w:rsidR="00CB550B" w:rsidRPr="00103600" w:rsidRDefault="00103600" w:rsidP="00803CD9">
      <w:pPr>
        <w:pStyle w:val="Overskrift3"/>
      </w:pPr>
      <w:r>
        <w:t>Kliniske studier med m</w:t>
      </w:r>
      <w:r w:rsidR="45D7FBAB" w:rsidRPr="00103600">
        <w:t>edisinsk utstyr</w:t>
      </w:r>
    </w:p>
    <w:p w14:paraId="2D5990DA" w14:textId="5DAAB066" w:rsidR="00D76B8A" w:rsidRPr="00237647" w:rsidRDefault="27A2E477" w:rsidP="4A207839">
      <w:pPr>
        <w:spacing w:after="0"/>
        <w:rPr>
          <w:color w:val="auto"/>
        </w:rPr>
      </w:pPr>
      <w:r w:rsidRPr="00237647">
        <w:rPr>
          <w:color w:val="auto"/>
        </w:rPr>
        <w:t xml:space="preserve">Medisinsk utstyr er helt sentralt i det meste av diagnostikk og behandling av pasienter i sykehusene. Kliniske studier i forskning, utvikling og utprøving av medisinsk utstyr (teknologi) er noe de fleste sykehus driver med i større eller mindre grad, enten i egen forskning, samarbeidsprosjekter med </w:t>
      </w:r>
      <w:r w:rsidRPr="00237647">
        <w:rPr>
          <w:color w:val="auto"/>
        </w:rPr>
        <w:lastRenderedPageBreak/>
        <w:t xml:space="preserve">universiteter og forskningsinstitutter, eller i samarbeid med industri. NorTrials-senteret for medisinsk utstyr er lagt til St. Olavs hospital HF. </w:t>
      </w:r>
    </w:p>
    <w:p w14:paraId="68B5B0FE" w14:textId="39736C14" w:rsidR="00D76B8A" w:rsidRPr="00237647" w:rsidRDefault="00D76B8A" w:rsidP="4A207839">
      <w:pPr>
        <w:rPr>
          <w:color w:val="auto"/>
        </w:rPr>
      </w:pPr>
    </w:p>
    <w:p w14:paraId="17BD8451" w14:textId="69C1B818" w:rsidR="3309903C" w:rsidRPr="00237647" w:rsidRDefault="12B0C8EE" w:rsidP="4A207839">
      <w:pPr>
        <w:spacing w:after="160" w:line="257" w:lineRule="auto"/>
        <w:rPr>
          <w:rFonts w:ascii="Calibri" w:eastAsia="Calibri" w:hAnsi="Calibri" w:cs="Calibri"/>
          <w:color w:val="auto"/>
        </w:rPr>
      </w:pPr>
      <w:r w:rsidRPr="00237647">
        <w:rPr>
          <w:rFonts w:ascii="Calibri" w:eastAsia="Calibri" w:hAnsi="Calibri" w:cs="Calibri"/>
          <w:color w:val="auto"/>
        </w:rPr>
        <w:t>Det er</w:t>
      </w:r>
      <w:r w:rsidR="0DD6CD74" w:rsidRPr="00237647">
        <w:rPr>
          <w:rFonts w:ascii="Calibri" w:eastAsia="Calibri" w:hAnsi="Calibri" w:cs="Calibri"/>
          <w:color w:val="auto"/>
        </w:rPr>
        <w:t xml:space="preserve"> Lov om medisinsk utstyr (Lov 7.mai 2020 nr.37) som gjelder</w:t>
      </w:r>
      <w:r w:rsidR="59FFEF8D" w:rsidRPr="00237647">
        <w:rPr>
          <w:rFonts w:ascii="Calibri" w:eastAsia="Calibri" w:hAnsi="Calibri" w:cs="Calibri"/>
          <w:color w:val="auto"/>
        </w:rPr>
        <w:t xml:space="preserve"> i Norge</w:t>
      </w:r>
      <w:r w:rsidR="0DD6CD74" w:rsidRPr="00237647">
        <w:rPr>
          <w:rFonts w:ascii="Calibri" w:eastAsia="Calibri" w:hAnsi="Calibri" w:cs="Calibri"/>
          <w:color w:val="auto"/>
        </w:rPr>
        <w:t>. Denne loven gjennomfører de to nye EU-forordningene i norsk rett:</w:t>
      </w:r>
    </w:p>
    <w:p w14:paraId="227BFC64" w14:textId="1F993FD7" w:rsidR="3309903C" w:rsidRPr="00237647" w:rsidRDefault="0DD6CD74" w:rsidP="4A207839">
      <w:pPr>
        <w:pStyle w:val="Listeavsnitt"/>
        <w:numPr>
          <w:ilvl w:val="0"/>
          <w:numId w:val="7"/>
        </w:numPr>
        <w:spacing w:after="0" w:line="257" w:lineRule="auto"/>
        <w:rPr>
          <w:rFonts w:ascii="Calibri" w:eastAsia="Calibri" w:hAnsi="Calibri" w:cs="Calibri"/>
          <w:color w:val="auto"/>
        </w:rPr>
      </w:pPr>
      <w:r w:rsidRPr="00237647">
        <w:rPr>
          <w:rFonts w:ascii="Calibri" w:eastAsia="Calibri" w:hAnsi="Calibri" w:cs="Calibri"/>
          <w:color w:val="auto"/>
        </w:rPr>
        <w:t>Forordning (EU) nr.2017/745 om medisinsk utstyr (MDR) – trådte i kraft 26.mai 2021.</w:t>
      </w:r>
    </w:p>
    <w:p w14:paraId="7CF7F3A8" w14:textId="2253A8AC" w:rsidR="3309903C" w:rsidRPr="00237647" w:rsidRDefault="0DD6CD74" w:rsidP="4A207839">
      <w:pPr>
        <w:pStyle w:val="Listeavsnitt"/>
        <w:numPr>
          <w:ilvl w:val="0"/>
          <w:numId w:val="7"/>
        </w:numPr>
        <w:spacing w:line="257" w:lineRule="auto"/>
        <w:rPr>
          <w:rFonts w:ascii="Calibri" w:eastAsia="Calibri" w:hAnsi="Calibri" w:cs="Calibri"/>
          <w:color w:val="auto"/>
        </w:rPr>
      </w:pPr>
      <w:r w:rsidRPr="00237647">
        <w:rPr>
          <w:rFonts w:ascii="Calibri" w:eastAsia="Calibri" w:hAnsi="Calibri" w:cs="Calibri"/>
          <w:color w:val="auto"/>
        </w:rPr>
        <w:t xml:space="preserve">Forordning (EU) nr.2017/746 om in </w:t>
      </w:r>
      <w:proofErr w:type="spellStart"/>
      <w:r w:rsidRPr="00237647">
        <w:rPr>
          <w:rFonts w:ascii="Calibri" w:eastAsia="Calibri" w:hAnsi="Calibri" w:cs="Calibri"/>
          <w:color w:val="auto"/>
        </w:rPr>
        <w:t>vitro</w:t>
      </w:r>
      <w:proofErr w:type="spellEnd"/>
      <w:r w:rsidRPr="00237647">
        <w:rPr>
          <w:rFonts w:ascii="Calibri" w:eastAsia="Calibri" w:hAnsi="Calibri" w:cs="Calibri"/>
          <w:color w:val="auto"/>
        </w:rPr>
        <w:t>-diagnostisk medisinsk utstyr (IVDR) – trådte i kraft 26.mai 2022.</w:t>
      </w:r>
    </w:p>
    <w:p w14:paraId="60CAD5EF" w14:textId="7CBCFCFF" w:rsidR="7ABD7313" w:rsidRPr="00237647" w:rsidRDefault="113D7C0C" w:rsidP="4A207839">
      <w:pPr>
        <w:spacing w:after="0" w:line="257" w:lineRule="auto"/>
        <w:rPr>
          <w:rFonts w:ascii="Calibri" w:eastAsia="Calibri" w:hAnsi="Calibri" w:cs="Calibri"/>
          <w:color w:val="auto"/>
        </w:rPr>
      </w:pPr>
      <w:r w:rsidRPr="00237647">
        <w:rPr>
          <w:rFonts w:ascii="Calibri" w:eastAsia="Calibri" w:hAnsi="Calibri" w:cs="Calibri"/>
          <w:color w:val="auto"/>
        </w:rPr>
        <w:t xml:space="preserve">I disse forordningene introduseres skjerpede regulatoriske krav for </w:t>
      </w:r>
      <w:r w:rsidR="09AD8572" w:rsidRPr="00237647">
        <w:rPr>
          <w:rFonts w:ascii="Calibri" w:eastAsia="Calibri" w:hAnsi="Calibri" w:cs="Calibri"/>
          <w:color w:val="auto"/>
        </w:rPr>
        <w:t xml:space="preserve">hele livssyklusen til </w:t>
      </w:r>
      <w:r w:rsidR="61875963" w:rsidRPr="00237647">
        <w:rPr>
          <w:rFonts w:ascii="Calibri" w:eastAsia="Calibri" w:hAnsi="Calibri" w:cs="Calibri"/>
          <w:color w:val="auto"/>
        </w:rPr>
        <w:t>de</w:t>
      </w:r>
      <w:r w:rsidR="2BB7244F" w:rsidRPr="00237647">
        <w:rPr>
          <w:rFonts w:ascii="Calibri" w:eastAsia="Calibri" w:hAnsi="Calibri" w:cs="Calibri"/>
          <w:color w:val="auto"/>
        </w:rPr>
        <w:t>t</w:t>
      </w:r>
      <w:r w:rsidR="61875963" w:rsidRPr="00237647">
        <w:rPr>
          <w:rFonts w:ascii="Calibri" w:eastAsia="Calibri" w:hAnsi="Calibri" w:cs="Calibri"/>
          <w:color w:val="auto"/>
        </w:rPr>
        <w:t xml:space="preserve"> </w:t>
      </w:r>
      <w:r w:rsidR="09AD8572" w:rsidRPr="00237647">
        <w:rPr>
          <w:rFonts w:ascii="Calibri" w:eastAsia="Calibri" w:hAnsi="Calibri" w:cs="Calibri"/>
          <w:color w:val="auto"/>
        </w:rPr>
        <w:t>medisinsk</w:t>
      </w:r>
      <w:r w:rsidR="28A5315B" w:rsidRPr="00237647">
        <w:rPr>
          <w:rFonts w:ascii="Calibri" w:eastAsia="Calibri" w:hAnsi="Calibri" w:cs="Calibri"/>
          <w:color w:val="auto"/>
        </w:rPr>
        <w:t>e</w:t>
      </w:r>
      <w:r w:rsidR="09AD8572" w:rsidRPr="00237647">
        <w:rPr>
          <w:rFonts w:ascii="Calibri" w:eastAsia="Calibri" w:hAnsi="Calibri" w:cs="Calibri"/>
          <w:color w:val="auto"/>
        </w:rPr>
        <w:t xml:space="preserve"> utstyr</w:t>
      </w:r>
      <w:r w:rsidR="60E5F4AB" w:rsidRPr="00237647">
        <w:rPr>
          <w:rFonts w:ascii="Calibri" w:eastAsia="Calibri" w:hAnsi="Calibri" w:cs="Calibri"/>
          <w:color w:val="auto"/>
        </w:rPr>
        <w:t>et</w:t>
      </w:r>
      <w:r w:rsidR="09AD8572" w:rsidRPr="00237647">
        <w:rPr>
          <w:rFonts w:ascii="Calibri" w:eastAsia="Calibri" w:hAnsi="Calibri" w:cs="Calibri"/>
          <w:color w:val="auto"/>
        </w:rPr>
        <w:t>. Dette med mål om</w:t>
      </w:r>
      <w:r w:rsidRPr="00237647">
        <w:rPr>
          <w:rFonts w:ascii="Calibri" w:eastAsia="Calibri" w:hAnsi="Calibri" w:cs="Calibri"/>
          <w:color w:val="auto"/>
        </w:rPr>
        <w:t xml:space="preserve"> å øke pasientsikkerheten</w:t>
      </w:r>
      <w:r w:rsidR="0E5A64EA" w:rsidRPr="00237647">
        <w:rPr>
          <w:rFonts w:ascii="Calibri" w:eastAsia="Calibri" w:hAnsi="Calibri" w:cs="Calibri"/>
          <w:color w:val="auto"/>
        </w:rPr>
        <w:t>,</w:t>
      </w:r>
      <w:r w:rsidR="2E44B2DC" w:rsidRPr="00237647">
        <w:rPr>
          <w:rFonts w:ascii="Calibri" w:eastAsia="Calibri" w:hAnsi="Calibri" w:cs="Calibri"/>
          <w:color w:val="auto"/>
        </w:rPr>
        <w:t xml:space="preserve"> gjennom </w:t>
      </w:r>
      <w:r w:rsidR="6A17147D" w:rsidRPr="00237647">
        <w:rPr>
          <w:rFonts w:ascii="Calibri" w:eastAsia="Calibri" w:hAnsi="Calibri" w:cs="Calibri"/>
          <w:color w:val="auto"/>
        </w:rPr>
        <w:t xml:space="preserve">blant annet </w:t>
      </w:r>
      <w:r w:rsidR="2E44B2DC" w:rsidRPr="00237647">
        <w:rPr>
          <w:rFonts w:ascii="Calibri" w:eastAsia="Calibri" w:hAnsi="Calibri" w:cs="Calibri"/>
          <w:color w:val="auto"/>
        </w:rPr>
        <w:t>å øke sporbarhet</w:t>
      </w:r>
      <w:r w:rsidR="5AE2558F" w:rsidRPr="00237647">
        <w:rPr>
          <w:rFonts w:ascii="Calibri" w:eastAsia="Calibri" w:hAnsi="Calibri" w:cs="Calibri"/>
          <w:color w:val="auto"/>
        </w:rPr>
        <w:t xml:space="preserve">, sørge for </w:t>
      </w:r>
      <w:r w:rsidR="2E44B2DC" w:rsidRPr="00237647">
        <w:rPr>
          <w:rFonts w:ascii="Calibri" w:eastAsia="Calibri" w:hAnsi="Calibri" w:cs="Calibri"/>
          <w:color w:val="auto"/>
        </w:rPr>
        <w:t xml:space="preserve">åpenhet, </w:t>
      </w:r>
      <w:r w:rsidR="3E8F8132" w:rsidRPr="00237647">
        <w:rPr>
          <w:rFonts w:ascii="Calibri" w:eastAsia="Calibri" w:hAnsi="Calibri" w:cs="Calibri"/>
          <w:color w:val="auto"/>
        </w:rPr>
        <w:t xml:space="preserve">og </w:t>
      </w:r>
      <w:r w:rsidR="54CAB909" w:rsidRPr="00237647">
        <w:rPr>
          <w:rFonts w:ascii="Calibri" w:eastAsia="Calibri" w:hAnsi="Calibri" w:cs="Calibri"/>
          <w:color w:val="auto"/>
        </w:rPr>
        <w:t>sette større krav til klinisk bevis</w:t>
      </w:r>
      <w:r w:rsidR="228E4665" w:rsidRPr="00237647">
        <w:rPr>
          <w:rFonts w:ascii="Calibri" w:eastAsia="Calibri" w:hAnsi="Calibri" w:cs="Calibri"/>
          <w:color w:val="auto"/>
        </w:rPr>
        <w:t xml:space="preserve"> på utstyrets sikkerhet og ytelse.</w:t>
      </w:r>
      <w:r w:rsidR="352D63C7" w:rsidRPr="00237647">
        <w:rPr>
          <w:rFonts w:ascii="Calibri" w:eastAsia="Calibri" w:hAnsi="Calibri" w:cs="Calibri"/>
          <w:color w:val="auto"/>
        </w:rPr>
        <w:t xml:space="preserve"> </w:t>
      </w:r>
      <w:r w:rsidR="44A02640" w:rsidRPr="00237647">
        <w:rPr>
          <w:rFonts w:ascii="Calibri" w:eastAsia="Calibri" w:hAnsi="Calibri" w:cs="Calibri"/>
          <w:color w:val="auto"/>
        </w:rPr>
        <w:t xml:space="preserve">For å sørge for en felles tolkning av </w:t>
      </w:r>
      <w:r w:rsidR="7AA31D58" w:rsidRPr="00237647">
        <w:rPr>
          <w:rFonts w:ascii="Calibri" w:eastAsia="Calibri" w:hAnsi="Calibri" w:cs="Calibri"/>
          <w:color w:val="auto"/>
        </w:rPr>
        <w:t xml:space="preserve">forordningene </w:t>
      </w:r>
      <w:r w:rsidR="04D33331" w:rsidRPr="00237647">
        <w:rPr>
          <w:rFonts w:ascii="Calibri" w:eastAsia="Calibri" w:hAnsi="Calibri" w:cs="Calibri"/>
          <w:color w:val="auto"/>
        </w:rPr>
        <w:t xml:space="preserve">har EU-kommisjonen opprettet Medical Device </w:t>
      </w:r>
      <w:proofErr w:type="spellStart"/>
      <w:r w:rsidR="04D33331" w:rsidRPr="00237647">
        <w:rPr>
          <w:rFonts w:ascii="Calibri" w:eastAsia="Calibri" w:hAnsi="Calibri" w:cs="Calibri"/>
          <w:color w:val="auto"/>
        </w:rPr>
        <w:t>Coordination</w:t>
      </w:r>
      <w:proofErr w:type="spellEnd"/>
      <w:r w:rsidR="04D33331" w:rsidRPr="00237647">
        <w:rPr>
          <w:rFonts w:ascii="Calibri" w:eastAsia="Calibri" w:hAnsi="Calibri" w:cs="Calibri"/>
          <w:color w:val="auto"/>
        </w:rPr>
        <w:t xml:space="preserve"> Group (MDCG), som har i oppgave å publisere veiledningsdok</w:t>
      </w:r>
      <w:r w:rsidR="4B8FB7E6" w:rsidRPr="00237647">
        <w:rPr>
          <w:rFonts w:ascii="Calibri" w:eastAsia="Calibri" w:hAnsi="Calibri" w:cs="Calibri"/>
          <w:color w:val="auto"/>
        </w:rPr>
        <w:t>umenter til forordningene.</w:t>
      </w:r>
      <w:r w:rsidR="622D035E" w:rsidRPr="00237647">
        <w:rPr>
          <w:rFonts w:ascii="Calibri" w:eastAsia="Calibri" w:hAnsi="Calibri" w:cs="Calibri"/>
          <w:color w:val="auto"/>
        </w:rPr>
        <w:t xml:space="preserve"> </w:t>
      </w:r>
      <w:r w:rsidR="057E57CE" w:rsidRPr="00237647">
        <w:rPr>
          <w:rFonts w:ascii="Calibri" w:eastAsia="Calibri" w:hAnsi="Calibri" w:cs="Calibri"/>
          <w:color w:val="auto"/>
        </w:rPr>
        <w:t xml:space="preserve">Disse tar for seg </w:t>
      </w:r>
      <w:proofErr w:type="gramStart"/>
      <w:r w:rsidR="7323D26F" w:rsidRPr="00237647">
        <w:rPr>
          <w:rFonts w:ascii="Calibri" w:eastAsia="Calibri" w:hAnsi="Calibri" w:cs="Calibri"/>
          <w:color w:val="auto"/>
        </w:rPr>
        <w:t>software</w:t>
      </w:r>
      <w:proofErr w:type="gramEnd"/>
      <w:r w:rsidR="7323D26F" w:rsidRPr="00237647">
        <w:rPr>
          <w:rFonts w:ascii="Calibri" w:eastAsia="Calibri" w:hAnsi="Calibri" w:cs="Calibri"/>
          <w:color w:val="auto"/>
        </w:rPr>
        <w:t xml:space="preserve"> som medisinsk utstyr, </w:t>
      </w:r>
      <w:r w:rsidR="057E57CE" w:rsidRPr="00237647">
        <w:rPr>
          <w:rFonts w:ascii="Calibri" w:eastAsia="Calibri" w:hAnsi="Calibri" w:cs="Calibri"/>
          <w:color w:val="auto"/>
        </w:rPr>
        <w:t>risikoklassifisering av medisinsk utstyr, klinisk utprøving og evaluering</w:t>
      </w:r>
      <w:r w:rsidR="36B25B9F" w:rsidRPr="00237647">
        <w:rPr>
          <w:rFonts w:ascii="Calibri" w:eastAsia="Calibri" w:hAnsi="Calibri" w:cs="Calibri"/>
          <w:color w:val="auto"/>
        </w:rPr>
        <w:t xml:space="preserve">, og mer. Oversikten over disse veiledningsdokumentene finnes på </w:t>
      </w:r>
      <w:hyperlink r:id="rId16" w:history="1">
        <w:r w:rsidR="36B25B9F" w:rsidRPr="00237647">
          <w:rPr>
            <w:rStyle w:val="Hyperkobling"/>
            <w:color w:val="auto"/>
          </w:rPr>
          <w:t>EU-kommisjonens nettside</w:t>
        </w:r>
      </w:hyperlink>
      <w:r w:rsidR="36B25B9F" w:rsidRPr="00237647">
        <w:rPr>
          <w:rFonts w:ascii="Calibri" w:eastAsia="Calibri" w:hAnsi="Calibri" w:cs="Calibri"/>
          <w:color w:val="auto"/>
        </w:rPr>
        <w:t>.</w:t>
      </w:r>
    </w:p>
    <w:p w14:paraId="3623DFD6" w14:textId="3C7BB35E" w:rsidR="533539D4" w:rsidRPr="00237647" w:rsidRDefault="533539D4" w:rsidP="4A207839">
      <w:pPr>
        <w:spacing w:after="0" w:line="257" w:lineRule="auto"/>
        <w:rPr>
          <w:rFonts w:ascii="Calibri" w:eastAsia="Calibri" w:hAnsi="Calibri" w:cs="Calibri"/>
          <w:color w:val="auto"/>
        </w:rPr>
      </w:pPr>
    </w:p>
    <w:p w14:paraId="2D3DF228" w14:textId="4A115E26" w:rsidR="3309903C" w:rsidRPr="00237647" w:rsidRDefault="0DD6CD74" w:rsidP="4A207839">
      <w:pPr>
        <w:spacing w:line="257" w:lineRule="auto"/>
        <w:rPr>
          <w:color w:val="auto"/>
        </w:rPr>
      </w:pPr>
      <w:r w:rsidRPr="00237647">
        <w:rPr>
          <w:rFonts w:ascii="Calibri" w:eastAsia="Calibri" w:hAnsi="Calibri" w:cs="Calibri"/>
          <w:color w:val="auto"/>
        </w:rPr>
        <w:t xml:space="preserve">Med </w:t>
      </w:r>
      <w:r w:rsidR="27EB0A58" w:rsidRPr="00237647">
        <w:rPr>
          <w:rFonts w:ascii="Calibri" w:eastAsia="Calibri" w:hAnsi="Calibri" w:cs="Calibri"/>
          <w:color w:val="auto"/>
        </w:rPr>
        <w:t>de nye forordningene</w:t>
      </w:r>
      <w:r w:rsidRPr="00237647">
        <w:rPr>
          <w:rFonts w:ascii="Calibri" w:eastAsia="Calibri" w:hAnsi="Calibri" w:cs="Calibri"/>
          <w:color w:val="auto"/>
        </w:rPr>
        <w:t xml:space="preserve"> har definisjonen for medisinsk utstyr blitt noe bredere, og det er derfor viktig å ta en vurdering på hvilke</w:t>
      </w:r>
      <w:r w:rsidR="00C0501A">
        <w:rPr>
          <w:rFonts w:ascii="Calibri" w:eastAsia="Calibri" w:hAnsi="Calibri" w:cs="Calibri"/>
          <w:color w:val="auto"/>
        </w:rPr>
        <w:t>n</w:t>
      </w:r>
      <w:r w:rsidRPr="00237647">
        <w:rPr>
          <w:rFonts w:ascii="Calibri" w:eastAsia="Calibri" w:hAnsi="Calibri" w:cs="Calibri"/>
          <w:color w:val="auto"/>
        </w:rPr>
        <w:t xml:space="preserve"> type utstyr som nå anses som medisinsk utstyr. For eksempel kan flere digitale verktøy, apper og AI være medisinsk utstyr. </w:t>
      </w:r>
      <w:r w:rsidR="00B07A8E">
        <w:rPr>
          <w:rFonts w:ascii="Calibri" w:eastAsia="Calibri" w:hAnsi="Calibri" w:cs="Calibri"/>
          <w:color w:val="auto"/>
        </w:rPr>
        <w:t>Det er f.eks.</w:t>
      </w:r>
      <w:r w:rsidR="019176F7" w:rsidRPr="00237647">
        <w:rPr>
          <w:rFonts w:ascii="Calibri" w:eastAsia="Calibri" w:hAnsi="Calibri" w:cs="Calibri"/>
          <w:color w:val="auto"/>
        </w:rPr>
        <w:t xml:space="preserve"> en stadig økning i antall nye apper</w:t>
      </w:r>
      <w:r w:rsidR="003359D2">
        <w:rPr>
          <w:rFonts w:ascii="Calibri" w:eastAsia="Calibri" w:hAnsi="Calibri" w:cs="Calibri"/>
          <w:color w:val="auto"/>
        </w:rPr>
        <w:t xml:space="preserve"> </w:t>
      </w:r>
      <w:r w:rsidR="019176F7" w:rsidRPr="00237647">
        <w:rPr>
          <w:rFonts w:ascii="Calibri" w:eastAsia="Calibri" w:hAnsi="Calibri" w:cs="Calibri"/>
          <w:color w:val="auto"/>
        </w:rPr>
        <w:t>som går under definisjonen av medisinsk utstyr.</w:t>
      </w:r>
      <w:r w:rsidR="6ABDDEEE" w:rsidRPr="00237647">
        <w:rPr>
          <w:rFonts w:ascii="Calibri" w:eastAsia="Calibri" w:hAnsi="Calibri" w:cs="Calibri"/>
          <w:color w:val="auto"/>
        </w:rPr>
        <w:t xml:space="preserve"> </w:t>
      </w:r>
      <w:r w:rsidR="6ABDDEEE" w:rsidRPr="00237647">
        <w:rPr>
          <w:color w:val="auto"/>
        </w:rPr>
        <w:t xml:space="preserve">MDCG 2019-11 definerer medisinsk utstyr programvare (MDSW) som: </w:t>
      </w:r>
      <w:r w:rsidR="6ABDDEEE" w:rsidRPr="00C0501A">
        <w:rPr>
          <w:i/>
          <w:iCs/>
          <w:color w:val="auto"/>
        </w:rPr>
        <w:t xml:space="preserve">Programvare som er ment å bli brukt, alene eller i kombinasjon, for et formål som spesifisert i definisjonen av et “medisinsk utstyr” i medisinsk utstyr </w:t>
      </w:r>
      <w:r w:rsidR="00092FD6" w:rsidRPr="00C0501A">
        <w:rPr>
          <w:i/>
          <w:iCs/>
          <w:color w:val="auto"/>
        </w:rPr>
        <w:t xml:space="preserve">forordningen </w:t>
      </w:r>
      <w:r w:rsidR="6ABDDEEE" w:rsidRPr="00C0501A">
        <w:rPr>
          <w:i/>
          <w:iCs/>
          <w:color w:val="auto"/>
        </w:rPr>
        <w:t xml:space="preserve">eller in </w:t>
      </w:r>
      <w:proofErr w:type="spellStart"/>
      <w:r w:rsidR="6ABDDEEE" w:rsidRPr="00C0501A">
        <w:rPr>
          <w:i/>
          <w:iCs/>
          <w:color w:val="auto"/>
        </w:rPr>
        <w:t>vitro</w:t>
      </w:r>
      <w:proofErr w:type="spellEnd"/>
      <w:r w:rsidR="6ABDDEEE" w:rsidRPr="00C0501A">
        <w:rPr>
          <w:i/>
          <w:iCs/>
          <w:color w:val="auto"/>
        </w:rPr>
        <w:t xml:space="preserve"> diagnostisk medisinsk utstyr </w:t>
      </w:r>
      <w:r w:rsidR="00092FD6" w:rsidRPr="00C0501A">
        <w:rPr>
          <w:i/>
          <w:iCs/>
          <w:color w:val="auto"/>
        </w:rPr>
        <w:t>forordningen</w:t>
      </w:r>
      <w:r w:rsidR="6ABDDEEE" w:rsidRPr="00C0501A">
        <w:rPr>
          <w:i/>
          <w:iCs/>
          <w:color w:val="auto"/>
        </w:rPr>
        <w:t>, uavhengig av om programvaren er uavhengig eller påvirker bruken av et medisinsk utstyr. Dette inkluderer også applikasjoner (vanligvis referert til som “apps”) som kan operere på en mobiltelefon, i skyen eller på andre plattformer.</w:t>
      </w:r>
      <w:r w:rsidR="6ABDDEEE" w:rsidRPr="00237647">
        <w:rPr>
          <w:color w:val="auto"/>
        </w:rPr>
        <w:t xml:space="preserve"> For å oppsummere, hvis programvaren er ment å bli brukt i medisinsk sammenheng, uavhengig av plattform eller enhet, kan den kvalifisere som medisinsk utstyr</w:t>
      </w:r>
      <w:r w:rsidR="00C0501A">
        <w:rPr>
          <w:color w:val="auto"/>
        </w:rPr>
        <w:t>,</w:t>
      </w:r>
      <w:r w:rsidR="6ABDDEEE" w:rsidRPr="00237647">
        <w:rPr>
          <w:color w:val="auto"/>
        </w:rPr>
        <w:t xml:space="preserve"> og må følge relevante krav og klassifiseringer i henhold til </w:t>
      </w:r>
      <w:r w:rsidR="4DB4A745" w:rsidRPr="00237647">
        <w:rPr>
          <w:rFonts w:ascii="Calibri" w:eastAsia="Calibri" w:hAnsi="Calibri" w:cs="Calibri"/>
          <w:color w:val="auto"/>
        </w:rPr>
        <w:t>Forordning</w:t>
      </w:r>
      <w:r w:rsidR="6ABDDEEE" w:rsidRPr="00237647">
        <w:rPr>
          <w:color w:val="auto"/>
        </w:rPr>
        <w:t xml:space="preserve"> (EU) 2017/745 (MDR) og </w:t>
      </w:r>
      <w:r w:rsidR="4AD49B03" w:rsidRPr="00237647">
        <w:rPr>
          <w:rFonts w:ascii="Calibri" w:eastAsia="Calibri" w:hAnsi="Calibri" w:cs="Calibri"/>
          <w:color w:val="auto"/>
        </w:rPr>
        <w:t>Forordning</w:t>
      </w:r>
      <w:r w:rsidR="6ABDDEEE" w:rsidRPr="00237647">
        <w:rPr>
          <w:color w:val="auto"/>
        </w:rPr>
        <w:t xml:space="preserve"> (EU) 2017/746 (IVDR).</w:t>
      </w:r>
    </w:p>
    <w:p w14:paraId="1575531F" w14:textId="713FF091" w:rsidR="3309903C" w:rsidRPr="00237647" w:rsidRDefault="00935540" w:rsidP="4A207839">
      <w:pPr>
        <w:spacing w:after="160" w:line="257" w:lineRule="auto"/>
        <w:rPr>
          <w:i/>
          <w:iCs/>
          <w:color w:val="auto"/>
          <w:sz w:val="18"/>
          <w:szCs w:val="18"/>
        </w:rPr>
      </w:pPr>
      <w:r>
        <w:rPr>
          <w:i/>
          <w:iCs/>
          <w:color w:val="auto"/>
          <w:sz w:val="18"/>
          <w:szCs w:val="18"/>
        </w:rPr>
        <w:t>Kilde</w:t>
      </w:r>
      <w:r w:rsidR="6ABDDEEE" w:rsidRPr="00237647">
        <w:rPr>
          <w:i/>
          <w:iCs/>
          <w:color w:val="auto"/>
          <w:sz w:val="18"/>
          <w:szCs w:val="18"/>
        </w:rPr>
        <w:t xml:space="preserve">: </w:t>
      </w:r>
      <w:hyperlink r:id="rId17" w:history="1">
        <w:hyperlink r:id="rId18" w:history="1">
          <w:r w:rsidR="6ABDDEEE" w:rsidRPr="00237647">
            <w:rPr>
              <w:rStyle w:val="Hyperkobling"/>
              <w:i/>
              <w:iCs/>
              <w:color w:val="auto"/>
              <w:sz w:val="18"/>
              <w:szCs w:val="18"/>
            </w:rPr>
            <w:t>https://www.greenlight.guru/blog/mdcg-2019-11</w:t>
          </w:r>
        </w:hyperlink>
      </w:hyperlink>
      <w:r w:rsidR="6ABDDEEE" w:rsidRPr="00237647">
        <w:rPr>
          <w:i/>
          <w:iCs/>
          <w:color w:val="auto"/>
          <w:sz w:val="18"/>
          <w:szCs w:val="18"/>
        </w:rPr>
        <w:t xml:space="preserve"> </w:t>
      </w:r>
    </w:p>
    <w:p w14:paraId="0BC32171" w14:textId="53459FED" w:rsidR="3309903C" w:rsidRPr="00237647" w:rsidRDefault="3309903C" w:rsidP="4A207839">
      <w:pPr>
        <w:spacing w:after="0" w:line="257" w:lineRule="auto"/>
        <w:rPr>
          <w:rFonts w:ascii="Calibri" w:eastAsia="Calibri" w:hAnsi="Calibri" w:cs="Calibri"/>
          <w:color w:val="auto"/>
        </w:rPr>
      </w:pPr>
    </w:p>
    <w:p w14:paraId="198A8D98" w14:textId="2C761ABA" w:rsidR="3309903C" w:rsidRPr="00237647" w:rsidRDefault="0DD6CD74" w:rsidP="4A207839">
      <w:pPr>
        <w:spacing w:after="0" w:line="257" w:lineRule="auto"/>
        <w:rPr>
          <w:rFonts w:ascii="Calibri" w:eastAsia="Calibri" w:hAnsi="Calibri" w:cs="Calibri"/>
          <w:color w:val="auto"/>
        </w:rPr>
      </w:pPr>
      <w:r w:rsidRPr="00237647">
        <w:rPr>
          <w:rFonts w:ascii="Calibri" w:eastAsia="Calibri" w:hAnsi="Calibri" w:cs="Calibri"/>
          <w:color w:val="auto"/>
        </w:rPr>
        <w:t>I all hovedsak er det det tiltenkte formålet med utstyret som bestemmer om det er et medisinsk utstyr eller ikke.</w:t>
      </w:r>
      <w:r w:rsidR="534BB52F" w:rsidRPr="00237647">
        <w:rPr>
          <w:rFonts w:ascii="Calibri" w:eastAsia="Calibri" w:hAnsi="Calibri" w:cs="Calibri"/>
          <w:color w:val="auto"/>
        </w:rPr>
        <w:t xml:space="preserve"> </w:t>
      </w:r>
      <w:r w:rsidRPr="00237647">
        <w:rPr>
          <w:rFonts w:ascii="Calibri" w:eastAsia="Calibri" w:hAnsi="Calibri" w:cs="Calibri"/>
          <w:color w:val="auto"/>
        </w:rPr>
        <w:t>Definisjonen dekker instrumenter, apparater, utstyr, programvare, implantat, reagens, materiale eller andre gjenstander som i hovedsak skal brukes til diagnostisering, forebygging, overvåking, prediksjon, prognostisering, behandling og lindring av sykdom, og eventuelt skade eller funksjonshemming. I tillegg omfatter definisjonen nå utstyr til svangerskapsforebygging eller befruktningsassistanse, og produkter beregnet på rengjøring, desinfisering og sterilisering.</w:t>
      </w:r>
      <w:r w:rsidR="79D60F02" w:rsidRPr="00237647">
        <w:rPr>
          <w:rFonts w:ascii="Calibri" w:eastAsia="Calibri" w:hAnsi="Calibri" w:cs="Calibri"/>
          <w:color w:val="auto"/>
        </w:rPr>
        <w:t xml:space="preserve"> </w:t>
      </w:r>
      <w:r w:rsidRPr="00237647">
        <w:rPr>
          <w:rFonts w:ascii="Calibri" w:eastAsia="Calibri" w:hAnsi="Calibri" w:cs="Calibri"/>
          <w:color w:val="auto"/>
        </w:rPr>
        <w:t>Forordningens vedlegg XVI gir også en oversikt over utstyr som omfattes av MDR, men som ikke har et direkte medisinsk formål. Eksempler på dette er kosmetiske kontaktlinser, utstyr til fettsuging og laserutstyr til hårfjerning.</w:t>
      </w:r>
    </w:p>
    <w:p w14:paraId="6F1CF2FB" w14:textId="35B23629" w:rsidR="4A207839" w:rsidRPr="00237647" w:rsidRDefault="4A207839" w:rsidP="4A207839">
      <w:pPr>
        <w:spacing w:after="0" w:line="257" w:lineRule="auto"/>
        <w:rPr>
          <w:rFonts w:ascii="Calibri" w:eastAsia="Calibri" w:hAnsi="Calibri" w:cs="Calibri"/>
          <w:color w:val="auto"/>
        </w:rPr>
      </w:pPr>
    </w:p>
    <w:p w14:paraId="3B90D33F" w14:textId="0CA3B166" w:rsidR="3309903C" w:rsidRPr="00237647" w:rsidRDefault="0DD6CD74" w:rsidP="4A207839">
      <w:pPr>
        <w:spacing w:after="0"/>
        <w:rPr>
          <w:rFonts w:ascii="Calibri" w:eastAsia="Calibri" w:hAnsi="Calibri" w:cs="Calibri"/>
          <w:i/>
          <w:iCs/>
          <w:color w:val="auto"/>
        </w:rPr>
      </w:pPr>
      <w:r w:rsidRPr="00237647">
        <w:rPr>
          <w:rFonts w:ascii="Calibri" w:eastAsia="Calibri" w:hAnsi="Calibri" w:cs="Calibri"/>
          <w:color w:val="auto"/>
        </w:rPr>
        <w:t xml:space="preserve">Som følge av at definisjonen på medisinsk utstyr er blitt bredere, og kravene til klinisk bevis er strengere, forventes det </w:t>
      </w:r>
      <w:r w:rsidR="73385292" w:rsidRPr="00237647">
        <w:rPr>
          <w:rFonts w:ascii="Calibri" w:eastAsia="Calibri" w:hAnsi="Calibri" w:cs="Calibri"/>
          <w:color w:val="auto"/>
        </w:rPr>
        <w:t xml:space="preserve">at en større andel medisinsk utstyr må gjennom </w:t>
      </w:r>
      <w:r w:rsidR="645FBE9B" w:rsidRPr="00237647">
        <w:rPr>
          <w:rFonts w:ascii="Calibri" w:eastAsia="Calibri" w:hAnsi="Calibri" w:cs="Calibri"/>
          <w:color w:val="auto"/>
        </w:rPr>
        <w:t>kliniske utprøvinger</w:t>
      </w:r>
      <w:r w:rsidRPr="00237647">
        <w:rPr>
          <w:rFonts w:ascii="Calibri" w:eastAsia="Calibri" w:hAnsi="Calibri" w:cs="Calibri"/>
          <w:color w:val="auto"/>
        </w:rPr>
        <w:t xml:space="preserve">. </w:t>
      </w:r>
      <w:r w:rsidR="50763E1C" w:rsidRPr="00237647">
        <w:rPr>
          <w:rFonts w:ascii="Calibri" w:eastAsia="Calibri" w:hAnsi="Calibri" w:cs="Calibri"/>
          <w:color w:val="auto"/>
        </w:rPr>
        <w:t>Slike</w:t>
      </w:r>
      <w:r w:rsidRPr="00237647">
        <w:rPr>
          <w:rFonts w:ascii="Calibri" w:eastAsia="Calibri" w:hAnsi="Calibri" w:cs="Calibri"/>
          <w:color w:val="auto"/>
        </w:rPr>
        <w:t xml:space="preserve"> utprøving</w:t>
      </w:r>
      <w:r w:rsidR="20EA2934" w:rsidRPr="00237647">
        <w:rPr>
          <w:rFonts w:ascii="Calibri" w:eastAsia="Calibri" w:hAnsi="Calibri" w:cs="Calibri"/>
          <w:color w:val="auto"/>
        </w:rPr>
        <w:t>er</w:t>
      </w:r>
      <w:r w:rsidRPr="00237647">
        <w:rPr>
          <w:rFonts w:ascii="Calibri" w:eastAsia="Calibri" w:hAnsi="Calibri" w:cs="Calibri"/>
          <w:color w:val="auto"/>
        </w:rPr>
        <w:t xml:space="preserve"> er </w:t>
      </w:r>
      <w:r w:rsidR="208A59EC" w:rsidRPr="00237647">
        <w:rPr>
          <w:rFonts w:ascii="Calibri" w:eastAsia="Calibri" w:hAnsi="Calibri" w:cs="Calibri"/>
          <w:color w:val="auto"/>
        </w:rPr>
        <w:t xml:space="preserve">i MDR </w:t>
      </w:r>
      <w:r w:rsidRPr="00237647">
        <w:rPr>
          <w:rFonts w:ascii="Calibri" w:eastAsia="Calibri" w:hAnsi="Calibri" w:cs="Calibri"/>
          <w:color w:val="auto"/>
        </w:rPr>
        <w:t xml:space="preserve">definert som </w:t>
      </w:r>
      <w:r w:rsidRPr="00237647">
        <w:rPr>
          <w:rFonts w:ascii="Calibri" w:eastAsia="Calibri" w:hAnsi="Calibri" w:cs="Calibri"/>
          <w:i/>
          <w:iCs/>
          <w:color w:val="auto"/>
        </w:rPr>
        <w:t>«enhver systematisk utprøving som omfatter en eller flere forsøkspersoner, og som gjennomføres for å vurdere et utstyrs sikkerhet eller ytelse».</w:t>
      </w:r>
      <w:r w:rsidR="21BCB9F2" w:rsidRPr="00237647">
        <w:rPr>
          <w:rFonts w:ascii="Calibri" w:eastAsia="Calibri" w:hAnsi="Calibri" w:cs="Calibri"/>
          <w:i/>
          <w:iCs/>
          <w:color w:val="auto"/>
        </w:rPr>
        <w:t xml:space="preserve"> </w:t>
      </w:r>
    </w:p>
    <w:p w14:paraId="3C0D72A4" w14:textId="5FDA029D" w:rsidR="533539D4" w:rsidRPr="00237647" w:rsidRDefault="533539D4" w:rsidP="4A207839">
      <w:pPr>
        <w:rPr>
          <w:rFonts w:ascii="Calibri" w:eastAsia="Calibri" w:hAnsi="Calibri" w:cs="Calibri"/>
          <w:i/>
          <w:iCs/>
          <w:color w:val="auto"/>
        </w:rPr>
      </w:pPr>
    </w:p>
    <w:p w14:paraId="63D5EA75" w14:textId="64519301" w:rsidR="08A7D555" w:rsidRPr="00237647" w:rsidRDefault="0E73BA41" w:rsidP="4A207839">
      <w:pPr>
        <w:rPr>
          <w:color w:val="auto"/>
        </w:rPr>
      </w:pPr>
      <w:r w:rsidRPr="00237647">
        <w:rPr>
          <w:color w:val="auto"/>
        </w:rPr>
        <w:t>MDR</w:t>
      </w:r>
      <w:r w:rsidR="63C0C731" w:rsidRPr="00237647">
        <w:rPr>
          <w:color w:val="auto"/>
        </w:rPr>
        <w:t xml:space="preserve"> innebærer at </w:t>
      </w:r>
      <w:r w:rsidR="54AEC040" w:rsidRPr="00237647">
        <w:rPr>
          <w:color w:val="auto"/>
        </w:rPr>
        <w:t>Direktoratet for medisinske produkter</w:t>
      </w:r>
      <w:r w:rsidR="5E25D976" w:rsidRPr="00237647">
        <w:rPr>
          <w:color w:val="auto"/>
        </w:rPr>
        <w:t xml:space="preserve"> (DMP</w:t>
      </w:r>
      <w:r w:rsidR="00C0501A">
        <w:rPr>
          <w:color w:val="auto"/>
        </w:rPr>
        <w:t>)</w:t>
      </w:r>
      <w:r w:rsidR="63C0C731" w:rsidRPr="00237647">
        <w:rPr>
          <w:color w:val="auto"/>
        </w:rPr>
        <w:t xml:space="preserve"> skal vurdere søknader om klinisk utprøving/ytelsesstudier av medisinsk utstyr i tillegg til etisk godkjenning fra REK.</w:t>
      </w:r>
    </w:p>
    <w:p w14:paraId="326000B5" w14:textId="77777777" w:rsidR="1D898D1F" w:rsidRPr="00237647" w:rsidRDefault="63C0C731" w:rsidP="4A207839">
      <w:pPr>
        <w:numPr>
          <w:ilvl w:val="0"/>
          <w:numId w:val="44"/>
        </w:numPr>
        <w:rPr>
          <w:color w:val="auto"/>
        </w:rPr>
      </w:pPr>
      <w:r w:rsidRPr="00237647">
        <w:rPr>
          <w:color w:val="auto"/>
        </w:rPr>
        <w:t>REK KULMU står for Regional komité for medisinsk og helsefaglig forskningsetikk ved komiteene for klinisk utprøving av legemidler og medisinsk utstyr.</w:t>
      </w:r>
    </w:p>
    <w:p w14:paraId="2723DE7C" w14:textId="77777777" w:rsidR="1D898D1F" w:rsidRPr="00237647" w:rsidRDefault="63C0C731" w:rsidP="4A207839">
      <w:pPr>
        <w:numPr>
          <w:ilvl w:val="0"/>
          <w:numId w:val="44"/>
        </w:numPr>
        <w:rPr>
          <w:color w:val="auto"/>
        </w:rPr>
      </w:pPr>
      <w:r w:rsidRPr="00237647">
        <w:rPr>
          <w:color w:val="auto"/>
        </w:rPr>
        <w:t>REK KULMU er administrativt tilknyttet REK sør-øst, men har et nasjonalt mandat der komiteene skal foreta en forskningsetisk vurdering av søknader som omhandler klinisk utprøving av legemidler og medisinsk utstyr.</w:t>
      </w:r>
    </w:p>
    <w:p w14:paraId="60769DEA" w14:textId="77777777" w:rsidR="1D898D1F" w:rsidRPr="00237647" w:rsidRDefault="63C0C731" w:rsidP="4A207839">
      <w:pPr>
        <w:numPr>
          <w:ilvl w:val="0"/>
          <w:numId w:val="44"/>
        </w:numPr>
        <w:rPr>
          <w:color w:val="auto"/>
        </w:rPr>
      </w:pPr>
      <w:r w:rsidRPr="00237647">
        <w:rPr>
          <w:color w:val="auto"/>
        </w:rPr>
        <w:t>REK KULMU ble etablert høsten 2020 for å imøtekomme Norges forpliktelser til oppfølging av EU-forordningene.</w:t>
      </w:r>
    </w:p>
    <w:p w14:paraId="262BC13A" w14:textId="465454AE" w:rsidR="0769BE99" w:rsidRPr="00237647" w:rsidRDefault="31612A6F" w:rsidP="4A207839">
      <w:pPr>
        <w:spacing w:before="240"/>
        <w:rPr>
          <w:color w:val="auto"/>
        </w:rPr>
      </w:pPr>
      <w:r w:rsidRPr="00237647">
        <w:rPr>
          <w:color w:val="auto"/>
        </w:rPr>
        <w:t>Kravene til</w:t>
      </w:r>
      <w:r w:rsidR="0642EF63" w:rsidRPr="00237647">
        <w:rPr>
          <w:color w:val="auto"/>
        </w:rPr>
        <w:t xml:space="preserve"> klinisk utprøving </w:t>
      </w:r>
      <w:r w:rsidR="732AFA35" w:rsidRPr="00237647">
        <w:rPr>
          <w:color w:val="auto"/>
        </w:rPr>
        <w:t xml:space="preserve">av medisinsk utstyr </w:t>
      </w:r>
      <w:r w:rsidR="0642EF63" w:rsidRPr="00237647">
        <w:rPr>
          <w:color w:val="auto"/>
        </w:rPr>
        <w:t xml:space="preserve">listes opp i MDR kapittel </w:t>
      </w:r>
      <w:r w:rsidR="3C4780E5" w:rsidRPr="00237647">
        <w:rPr>
          <w:color w:val="auto"/>
        </w:rPr>
        <w:t>VI artikkel 62-</w:t>
      </w:r>
      <w:r w:rsidR="0D3F31E3" w:rsidRPr="00237647">
        <w:rPr>
          <w:color w:val="auto"/>
        </w:rPr>
        <w:t>82</w:t>
      </w:r>
      <w:r w:rsidR="0E86AF22" w:rsidRPr="00237647">
        <w:rPr>
          <w:color w:val="auto"/>
        </w:rPr>
        <w:t xml:space="preserve"> og </w:t>
      </w:r>
      <w:r w:rsidR="140D65EE" w:rsidRPr="00237647">
        <w:rPr>
          <w:color w:val="auto"/>
        </w:rPr>
        <w:t xml:space="preserve">MDR </w:t>
      </w:r>
      <w:r w:rsidR="0E86AF22" w:rsidRPr="00237647">
        <w:rPr>
          <w:color w:val="auto"/>
        </w:rPr>
        <w:t>vedlegg XV</w:t>
      </w:r>
      <w:r w:rsidR="465FF082" w:rsidRPr="00237647">
        <w:rPr>
          <w:color w:val="auto"/>
        </w:rPr>
        <w:t>. Disse anses å være betydelig mer omfattende enn i det tidligere direktivet (MDD)</w:t>
      </w:r>
      <w:r w:rsidR="71ACEC0A" w:rsidRPr="00237647">
        <w:rPr>
          <w:color w:val="auto"/>
        </w:rPr>
        <w:t xml:space="preserve">, og det har dermed blitt mer </w:t>
      </w:r>
      <w:r w:rsidR="47890024" w:rsidRPr="00237647">
        <w:rPr>
          <w:color w:val="auto"/>
        </w:rPr>
        <w:t>utfordrende og tidkrevende</w:t>
      </w:r>
      <w:r w:rsidR="71ACEC0A" w:rsidRPr="00237647">
        <w:rPr>
          <w:color w:val="auto"/>
        </w:rPr>
        <w:t xml:space="preserve"> å skulle navigere seg gjennom </w:t>
      </w:r>
      <w:r w:rsidR="4B34DE52" w:rsidRPr="00237647">
        <w:rPr>
          <w:color w:val="auto"/>
        </w:rPr>
        <w:t>det regulatoriske landskapet.</w:t>
      </w:r>
      <w:r w:rsidR="21390D19" w:rsidRPr="00237647">
        <w:rPr>
          <w:color w:val="auto"/>
        </w:rPr>
        <w:t xml:space="preserve"> På grunnlag av dette har DMP </w:t>
      </w:r>
      <w:r w:rsidR="5C132C90" w:rsidRPr="00237647">
        <w:rPr>
          <w:color w:val="auto"/>
        </w:rPr>
        <w:t>kommet med en regulatorisk veiviser</w:t>
      </w:r>
      <w:r w:rsidR="3083C58F" w:rsidRPr="00237647">
        <w:rPr>
          <w:color w:val="auto"/>
        </w:rPr>
        <w:t>,</w:t>
      </w:r>
      <w:r w:rsidR="085875A6" w:rsidRPr="00237647">
        <w:rPr>
          <w:color w:val="auto"/>
        </w:rPr>
        <w:t xml:space="preserve"> som baserer seg på Medical Device </w:t>
      </w:r>
      <w:proofErr w:type="spellStart"/>
      <w:r w:rsidR="085875A6" w:rsidRPr="00237647">
        <w:rPr>
          <w:color w:val="auto"/>
        </w:rPr>
        <w:t>Coordination</w:t>
      </w:r>
      <w:proofErr w:type="spellEnd"/>
      <w:r w:rsidR="085875A6" w:rsidRPr="00237647">
        <w:rPr>
          <w:color w:val="auto"/>
        </w:rPr>
        <w:t xml:space="preserve"> Group (MDCG) </w:t>
      </w:r>
      <w:r w:rsidR="66DC1D1D" w:rsidRPr="00237647">
        <w:rPr>
          <w:color w:val="auto"/>
        </w:rPr>
        <w:t>sin regulatoriske guide</w:t>
      </w:r>
      <w:r w:rsidR="5A8B206C" w:rsidRPr="00237647">
        <w:rPr>
          <w:color w:val="auto"/>
        </w:rPr>
        <w:t xml:space="preserve"> for kliniske utprøvinger. </w:t>
      </w:r>
      <w:r w:rsidR="63C0C731" w:rsidRPr="00237647">
        <w:rPr>
          <w:color w:val="auto"/>
        </w:rPr>
        <w:t>Se </w:t>
      </w:r>
      <w:hyperlink r:id="rId19" w:history="1">
        <w:hyperlink r:id="rId20" w:history="1">
          <w:hyperlink r:id="rId21" w:history="1">
            <w:r w:rsidR="63C0C731" w:rsidRPr="00237647">
              <w:rPr>
                <w:rStyle w:val="Hyperkobling"/>
                <w:color w:val="auto"/>
              </w:rPr>
              <w:t>Regulatorisk veiviser for kliniske utprøvinger etter forordning (EU) 2017/745 om medisinsk utstyr (MDR)</w:t>
            </w:r>
          </w:hyperlink>
        </w:hyperlink>
      </w:hyperlink>
      <w:r w:rsidR="63C0C731" w:rsidRPr="00237647">
        <w:rPr>
          <w:color w:val="auto"/>
        </w:rPr>
        <w:t> og les mer om utprøving av medisinsk utstyr på </w:t>
      </w:r>
      <w:hyperlink r:id="rId22" w:history="1">
        <w:r w:rsidR="61C27B19" w:rsidRPr="00237647">
          <w:rPr>
            <w:rStyle w:val="Hyperkobling"/>
            <w:color w:val="auto"/>
          </w:rPr>
          <w:t>Direktoratet for medisinske produkter sine nettsider</w:t>
        </w:r>
      </w:hyperlink>
      <w:r w:rsidR="61C27B19" w:rsidRPr="00237647">
        <w:rPr>
          <w:color w:val="auto"/>
        </w:rPr>
        <w:t>.</w:t>
      </w:r>
    </w:p>
    <w:p w14:paraId="71746D15" w14:textId="400C5077" w:rsidR="64A3ED40" w:rsidRPr="00237647" w:rsidRDefault="5FF5E26C" w:rsidP="4A207839">
      <w:pPr>
        <w:rPr>
          <w:rFonts w:ascii="Calibri" w:eastAsia="Calibri" w:hAnsi="Calibri" w:cs="Calibri"/>
          <w:color w:val="auto"/>
        </w:rPr>
      </w:pPr>
      <w:r w:rsidRPr="00237647">
        <w:rPr>
          <w:rFonts w:ascii="Calibri" w:eastAsia="Calibri" w:hAnsi="Calibri" w:cs="Calibri"/>
          <w:color w:val="auto"/>
        </w:rPr>
        <w:t>Den regulatoriske v</w:t>
      </w:r>
      <w:r w:rsidR="40F94560" w:rsidRPr="00237647">
        <w:rPr>
          <w:rFonts w:ascii="Calibri" w:eastAsia="Calibri" w:hAnsi="Calibri" w:cs="Calibri"/>
          <w:color w:val="auto"/>
        </w:rPr>
        <w:t>eiviseren tar for seg de tre typene kliniske utprøvinger:</w:t>
      </w:r>
    </w:p>
    <w:p w14:paraId="0982504A" w14:textId="56B1A7F7" w:rsidR="64A3ED40" w:rsidRPr="00237647" w:rsidRDefault="40F94560" w:rsidP="4A207839">
      <w:pPr>
        <w:pStyle w:val="Listeavsnitt"/>
        <w:numPr>
          <w:ilvl w:val="0"/>
          <w:numId w:val="5"/>
        </w:numPr>
        <w:rPr>
          <w:rFonts w:ascii="Calibri" w:eastAsia="Calibri" w:hAnsi="Calibri" w:cs="Calibri"/>
          <w:color w:val="auto"/>
        </w:rPr>
      </w:pPr>
      <w:r w:rsidRPr="00237647">
        <w:rPr>
          <w:rFonts w:ascii="Calibri" w:eastAsia="Calibri" w:hAnsi="Calibri" w:cs="Calibri"/>
          <w:color w:val="auto"/>
        </w:rPr>
        <w:t>Utprøving med formål om fremtidig samsvarsvurdering og CE-merking av medisinsk utstyr (MDR artikkel 62(1))</w:t>
      </w:r>
      <w:r w:rsidR="5AF08A15" w:rsidRPr="00237647">
        <w:rPr>
          <w:rFonts w:ascii="Calibri" w:eastAsia="Calibri" w:hAnsi="Calibri" w:cs="Calibri"/>
          <w:color w:val="auto"/>
        </w:rPr>
        <w:t>.</w:t>
      </w:r>
    </w:p>
    <w:p w14:paraId="5991ECEF" w14:textId="03510EE9" w:rsidR="64A3ED40" w:rsidRPr="00237647" w:rsidRDefault="40F94560" w:rsidP="4A207839">
      <w:pPr>
        <w:pStyle w:val="Listeavsnitt"/>
        <w:numPr>
          <w:ilvl w:val="0"/>
          <w:numId w:val="5"/>
        </w:numPr>
        <w:spacing w:after="0" w:line="257" w:lineRule="auto"/>
        <w:rPr>
          <w:rFonts w:ascii="Calibri" w:eastAsia="Calibri" w:hAnsi="Calibri" w:cs="Calibri"/>
          <w:color w:val="auto"/>
        </w:rPr>
      </w:pPr>
      <w:r w:rsidRPr="00237647">
        <w:rPr>
          <w:rFonts w:ascii="Calibri" w:eastAsia="Calibri" w:hAnsi="Calibri" w:cs="Calibri"/>
          <w:color w:val="auto"/>
        </w:rPr>
        <w:t>Utprøving for andre formål (MDR artikkel 82)</w:t>
      </w:r>
      <w:r w:rsidR="161159A8" w:rsidRPr="00237647">
        <w:rPr>
          <w:rFonts w:ascii="Calibri" w:eastAsia="Calibri" w:hAnsi="Calibri" w:cs="Calibri"/>
          <w:color w:val="auto"/>
        </w:rPr>
        <w:t>.</w:t>
      </w:r>
    </w:p>
    <w:p w14:paraId="125BE2E3" w14:textId="78427296" w:rsidR="64A3ED40" w:rsidRPr="00237647" w:rsidRDefault="40F94560" w:rsidP="4A207839">
      <w:pPr>
        <w:pStyle w:val="Listeavsnitt"/>
        <w:numPr>
          <w:ilvl w:val="0"/>
          <w:numId w:val="5"/>
        </w:numPr>
        <w:spacing w:after="0" w:line="257" w:lineRule="auto"/>
        <w:rPr>
          <w:rFonts w:ascii="Calibri" w:eastAsia="Calibri" w:hAnsi="Calibri" w:cs="Calibri"/>
          <w:color w:val="auto"/>
        </w:rPr>
      </w:pPr>
      <w:r w:rsidRPr="00237647">
        <w:rPr>
          <w:rFonts w:ascii="Calibri" w:eastAsia="Calibri" w:hAnsi="Calibri" w:cs="Calibri"/>
          <w:color w:val="auto"/>
        </w:rPr>
        <w:t xml:space="preserve">Utprøving av allerede CE-merket medisinsk utstyr, hvor forsøkspersonene utsettes for andre prosedyrer enn ved normal bruk av utstyret, og disse andre prosedyrene er </w:t>
      </w:r>
      <w:proofErr w:type="spellStart"/>
      <w:r w:rsidRPr="00237647">
        <w:rPr>
          <w:rFonts w:ascii="Calibri" w:eastAsia="Calibri" w:hAnsi="Calibri" w:cs="Calibri"/>
          <w:color w:val="auto"/>
        </w:rPr>
        <w:t>invasive</w:t>
      </w:r>
      <w:proofErr w:type="spellEnd"/>
      <w:r w:rsidRPr="00237647">
        <w:rPr>
          <w:rFonts w:ascii="Calibri" w:eastAsia="Calibri" w:hAnsi="Calibri" w:cs="Calibri"/>
          <w:color w:val="auto"/>
        </w:rPr>
        <w:t xml:space="preserve"> eller belastende (MDR artikkel 74(1))</w:t>
      </w:r>
      <w:r w:rsidR="3B0EAFBA" w:rsidRPr="00237647">
        <w:rPr>
          <w:rFonts w:ascii="Calibri" w:eastAsia="Calibri" w:hAnsi="Calibri" w:cs="Calibri"/>
          <w:color w:val="auto"/>
        </w:rPr>
        <w:t>.</w:t>
      </w:r>
    </w:p>
    <w:p w14:paraId="36F8213F" w14:textId="311F210D" w:rsidR="4A207839" w:rsidRPr="00237647" w:rsidRDefault="4A207839" w:rsidP="4A207839">
      <w:pPr>
        <w:spacing w:after="0" w:line="257" w:lineRule="auto"/>
        <w:rPr>
          <w:rFonts w:ascii="Calibri" w:eastAsia="Calibri" w:hAnsi="Calibri" w:cs="Calibri"/>
          <w:color w:val="auto"/>
        </w:rPr>
      </w:pPr>
    </w:p>
    <w:p w14:paraId="6E5E96D3" w14:textId="5D328580" w:rsidR="39E9A76C" w:rsidRPr="00237647" w:rsidRDefault="39E9A76C" w:rsidP="4A207839">
      <w:pPr>
        <w:spacing w:after="0" w:line="257" w:lineRule="auto"/>
        <w:rPr>
          <w:rFonts w:ascii="Calibri" w:eastAsia="Calibri" w:hAnsi="Calibri" w:cs="Calibri"/>
          <w:color w:val="auto"/>
        </w:rPr>
      </w:pPr>
      <w:r w:rsidRPr="00237647">
        <w:rPr>
          <w:rFonts w:ascii="Calibri" w:eastAsia="Calibri" w:hAnsi="Calibri" w:cs="Calibri"/>
          <w:color w:val="auto"/>
        </w:rPr>
        <w:t xml:space="preserve">Ettersom kravene til klinisk utprøving av medisinsk utstyr har økt, har listen over dokumenter som skal leveres i en søknad om klinisk utprøving til DMP og REK også vokst. </w:t>
      </w:r>
      <w:r w:rsidR="72AC285B" w:rsidRPr="00237647">
        <w:rPr>
          <w:rFonts w:ascii="Calibri" w:eastAsia="Calibri" w:hAnsi="Calibri" w:cs="Calibri"/>
          <w:color w:val="auto"/>
        </w:rPr>
        <w:t xml:space="preserve">Det har i noen grad ført til at terskelen for å starte opp en klinisk utprøving er blitt høyere, når </w:t>
      </w:r>
      <w:r w:rsidR="34FA3DF6" w:rsidRPr="00237647">
        <w:rPr>
          <w:rFonts w:ascii="Calibri" w:eastAsia="Calibri" w:hAnsi="Calibri" w:cs="Calibri"/>
          <w:color w:val="auto"/>
        </w:rPr>
        <w:t xml:space="preserve">det krever </w:t>
      </w:r>
      <w:r w:rsidR="698F5C5A" w:rsidRPr="00237647">
        <w:rPr>
          <w:rFonts w:ascii="Calibri" w:eastAsia="Calibri" w:hAnsi="Calibri" w:cs="Calibri"/>
          <w:color w:val="auto"/>
        </w:rPr>
        <w:t xml:space="preserve">ekstra </w:t>
      </w:r>
      <w:r w:rsidR="34FA3DF6" w:rsidRPr="00237647">
        <w:rPr>
          <w:rFonts w:ascii="Calibri" w:eastAsia="Calibri" w:hAnsi="Calibri" w:cs="Calibri"/>
          <w:color w:val="auto"/>
        </w:rPr>
        <w:t xml:space="preserve">tid å </w:t>
      </w:r>
      <w:proofErr w:type="gramStart"/>
      <w:r w:rsidR="34FA3DF6" w:rsidRPr="00237647">
        <w:rPr>
          <w:rFonts w:ascii="Calibri" w:eastAsia="Calibri" w:hAnsi="Calibri" w:cs="Calibri"/>
          <w:color w:val="auto"/>
        </w:rPr>
        <w:t>generere</w:t>
      </w:r>
      <w:proofErr w:type="gramEnd"/>
      <w:r w:rsidR="34FA3DF6" w:rsidRPr="00237647">
        <w:rPr>
          <w:rFonts w:ascii="Calibri" w:eastAsia="Calibri" w:hAnsi="Calibri" w:cs="Calibri"/>
          <w:color w:val="auto"/>
        </w:rPr>
        <w:t xml:space="preserve"> alle dokumentene som skal på plass.</w:t>
      </w:r>
      <w:r w:rsidR="071F3525" w:rsidRPr="00237647">
        <w:rPr>
          <w:rFonts w:ascii="Calibri" w:eastAsia="Calibri" w:hAnsi="Calibri" w:cs="Calibri"/>
          <w:color w:val="auto"/>
        </w:rPr>
        <w:t xml:space="preserve"> Oversikten over dokumentene finnes på </w:t>
      </w:r>
      <w:hyperlink r:id="rId23" w:history="1">
        <w:proofErr w:type="spellStart"/>
        <w:r w:rsidR="071F3525" w:rsidRPr="00237647">
          <w:rPr>
            <w:rFonts w:ascii="Calibri" w:eastAsia="Calibri" w:hAnsi="Calibri" w:cs="Calibri"/>
            <w:color w:val="auto"/>
          </w:rPr>
          <w:t>DMPs</w:t>
        </w:r>
        <w:proofErr w:type="spellEnd"/>
        <w:r w:rsidR="071F3525" w:rsidRPr="00237647">
          <w:rPr>
            <w:rStyle w:val="Hyperkobling"/>
            <w:color w:val="auto"/>
          </w:rPr>
          <w:t xml:space="preserve"> nettside</w:t>
        </w:r>
      </w:hyperlink>
      <w:r w:rsidR="071F3525" w:rsidRPr="00237647">
        <w:rPr>
          <w:rFonts w:ascii="Calibri" w:eastAsia="Calibri" w:hAnsi="Calibri" w:cs="Calibri"/>
          <w:color w:val="auto"/>
        </w:rPr>
        <w:t xml:space="preserve">, og er listet i MDR vedlegg </w:t>
      </w:r>
      <w:r w:rsidR="2E9AD7F0" w:rsidRPr="00237647">
        <w:rPr>
          <w:rFonts w:ascii="Calibri" w:eastAsia="Calibri" w:hAnsi="Calibri" w:cs="Calibri"/>
          <w:color w:val="auto"/>
        </w:rPr>
        <w:t>XV kapittel II.</w:t>
      </w:r>
    </w:p>
    <w:p w14:paraId="79D2F787" w14:textId="371F84D4" w:rsidR="533539D4" w:rsidRPr="00237647" w:rsidRDefault="533539D4" w:rsidP="4A207839">
      <w:pPr>
        <w:spacing w:after="0" w:line="257" w:lineRule="auto"/>
        <w:rPr>
          <w:rFonts w:ascii="Calibri" w:eastAsia="Calibri" w:hAnsi="Calibri" w:cs="Calibri"/>
          <w:color w:val="auto"/>
        </w:rPr>
      </w:pPr>
    </w:p>
    <w:p w14:paraId="41C214DB" w14:textId="34BD5B4D" w:rsidR="00D76B8A" w:rsidRPr="00237647" w:rsidRDefault="1119792E" w:rsidP="4A207839">
      <w:pPr>
        <w:spacing w:after="0" w:line="257" w:lineRule="auto"/>
        <w:rPr>
          <w:color w:val="auto"/>
        </w:rPr>
      </w:pPr>
      <w:r w:rsidRPr="00237647">
        <w:rPr>
          <w:rFonts w:ascii="Calibri" w:eastAsia="Calibri" w:hAnsi="Calibri" w:cs="Calibri"/>
          <w:color w:val="auto"/>
        </w:rPr>
        <w:t>En ny europeisk database (</w:t>
      </w:r>
      <w:proofErr w:type="spellStart"/>
      <w:r w:rsidRPr="00237647">
        <w:rPr>
          <w:rFonts w:ascii="Calibri" w:eastAsia="Calibri" w:hAnsi="Calibri" w:cs="Calibri"/>
          <w:color w:val="auto"/>
        </w:rPr>
        <w:t>Eudamed</w:t>
      </w:r>
      <w:proofErr w:type="spellEnd"/>
      <w:r w:rsidRPr="00237647">
        <w:rPr>
          <w:rFonts w:ascii="Calibri" w:eastAsia="Calibri" w:hAnsi="Calibri" w:cs="Calibri"/>
          <w:color w:val="auto"/>
        </w:rPr>
        <w:t>) for medisinsk utstyr er opprettet, og anses som</w:t>
      </w:r>
      <w:r w:rsidR="2E9AD7F0" w:rsidRPr="00237647">
        <w:rPr>
          <w:rFonts w:ascii="Calibri" w:eastAsia="Calibri" w:hAnsi="Calibri" w:cs="Calibri"/>
          <w:color w:val="auto"/>
        </w:rPr>
        <w:t xml:space="preserve"> et</w:t>
      </w:r>
      <w:r w:rsidR="346EA3D9" w:rsidRPr="00237647">
        <w:rPr>
          <w:color w:val="auto"/>
        </w:rPr>
        <w:t xml:space="preserve"> av de viktigste aspektene i de nye forordningene for medisinsk utstyr. </w:t>
      </w:r>
      <w:proofErr w:type="spellStart"/>
      <w:r w:rsidR="346EA3D9" w:rsidRPr="00237647">
        <w:rPr>
          <w:color w:val="auto"/>
        </w:rPr>
        <w:t>Eudamed</w:t>
      </w:r>
      <w:proofErr w:type="spellEnd"/>
      <w:r w:rsidR="346EA3D9" w:rsidRPr="00237647">
        <w:rPr>
          <w:color w:val="auto"/>
        </w:rPr>
        <w:t xml:space="preserve"> </w:t>
      </w:r>
      <w:r w:rsidR="00521987">
        <w:rPr>
          <w:color w:val="auto"/>
        </w:rPr>
        <w:t>gir</w:t>
      </w:r>
      <w:r w:rsidR="346EA3D9" w:rsidRPr="00237647">
        <w:rPr>
          <w:color w:val="auto"/>
        </w:rPr>
        <w:t xml:space="preserve"> en oversikt over livssyklusen til medisinsk utstyr som er tilgjengelig på markedet i EU. Hensikten er å øke åpenheten generelt, blant annet ved å gi bedre tilgang til informasjon for allmennheten og helsepersonell, samt </w:t>
      </w:r>
      <w:r w:rsidR="346EA3D9" w:rsidRPr="00237647">
        <w:rPr>
          <w:color w:val="auto"/>
        </w:rPr>
        <w:lastRenderedPageBreak/>
        <w:t xml:space="preserve">forbedre samarbeidet mellom ulike EU-land. </w:t>
      </w:r>
      <w:r w:rsidR="76DEC1EA" w:rsidRPr="00237647">
        <w:rPr>
          <w:color w:val="auto"/>
        </w:rPr>
        <w:t xml:space="preserve">Databasen skal inneholde seks moduler, hvor tre av dem allerede </w:t>
      </w:r>
      <w:r w:rsidR="768296F3" w:rsidRPr="00237647">
        <w:rPr>
          <w:color w:val="auto"/>
        </w:rPr>
        <w:t xml:space="preserve">er </w:t>
      </w:r>
      <w:r w:rsidR="6E194315" w:rsidRPr="00237647">
        <w:rPr>
          <w:color w:val="auto"/>
        </w:rPr>
        <w:t>tilgjengelige.</w:t>
      </w:r>
      <w:r w:rsidR="33E08FD5" w:rsidRPr="00237647">
        <w:rPr>
          <w:color w:val="auto"/>
        </w:rPr>
        <w:t xml:space="preserve"> </w:t>
      </w:r>
      <w:r w:rsidR="346EA3D9" w:rsidRPr="00237647">
        <w:rPr>
          <w:color w:val="auto"/>
        </w:rPr>
        <w:t xml:space="preserve">Ifølge den nye tidslinjen skal </w:t>
      </w:r>
      <w:proofErr w:type="spellStart"/>
      <w:r w:rsidR="346EA3D9" w:rsidRPr="00237647">
        <w:rPr>
          <w:color w:val="auto"/>
        </w:rPr>
        <w:t>Eudamed</w:t>
      </w:r>
      <w:proofErr w:type="spellEnd"/>
      <w:r w:rsidR="346EA3D9" w:rsidRPr="00237647">
        <w:rPr>
          <w:color w:val="auto"/>
        </w:rPr>
        <w:t xml:space="preserve"> ha full funksjonalitet innen Q2 2027, etterfulgt av en overgangsperiode på henholdsvis 6 eller 24 måneder avhengig av modul. Alle moduler skal være obligatorisk å bruke innen Q2 2029. Dette er viktig for å sikre at medisinsk utstyr blir riktig registrert og overvåket.</w:t>
      </w:r>
    </w:p>
    <w:p w14:paraId="5EECDD7F" w14:textId="305D6E9F" w:rsidR="00D76B8A" w:rsidRPr="00237647" w:rsidRDefault="0203EC79" w:rsidP="4A207839">
      <w:pPr>
        <w:rPr>
          <w:color w:val="auto"/>
        </w:rPr>
      </w:pPr>
      <w:r w:rsidRPr="00237647">
        <w:rPr>
          <w:color w:val="auto"/>
        </w:rPr>
        <w:t>Når databasen oppnår full funksjonalitet</w:t>
      </w:r>
      <w:r w:rsidR="00C0501A">
        <w:rPr>
          <w:color w:val="auto"/>
        </w:rPr>
        <w:t>,</w:t>
      </w:r>
      <w:r w:rsidR="1370A9D5" w:rsidRPr="00237647">
        <w:rPr>
          <w:color w:val="auto"/>
        </w:rPr>
        <w:t xml:space="preserve"> skal alle søknader om klinisk utprøving av medisinsk utstyr lever</w:t>
      </w:r>
      <w:r w:rsidR="00092FD6">
        <w:rPr>
          <w:color w:val="auto"/>
        </w:rPr>
        <w:t>e</w:t>
      </w:r>
      <w:r w:rsidR="1370A9D5" w:rsidRPr="00237647">
        <w:rPr>
          <w:color w:val="auto"/>
        </w:rPr>
        <w:t xml:space="preserve">s og behandles i </w:t>
      </w:r>
      <w:proofErr w:type="spellStart"/>
      <w:r w:rsidR="362C6BFF" w:rsidRPr="00237647">
        <w:rPr>
          <w:color w:val="auto"/>
        </w:rPr>
        <w:t>Eudamed</w:t>
      </w:r>
      <w:proofErr w:type="spellEnd"/>
      <w:r w:rsidR="1370A9D5" w:rsidRPr="00237647">
        <w:rPr>
          <w:color w:val="auto"/>
        </w:rPr>
        <w:t xml:space="preserve">. </w:t>
      </w:r>
      <w:r w:rsidR="16E25627" w:rsidRPr="00237647">
        <w:rPr>
          <w:color w:val="auto"/>
        </w:rPr>
        <w:t xml:space="preserve">I dag må søknader sendes til myndigheter i hvert land studien skal foregå i. </w:t>
      </w:r>
      <w:proofErr w:type="spellStart"/>
      <w:r w:rsidR="16E25627" w:rsidRPr="00237647">
        <w:rPr>
          <w:color w:val="auto"/>
        </w:rPr>
        <w:t>E</w:t>
      </w:r>
      <w:r w:rsidR="302472F0" w:rsidRPr="00237647">
        <w:rPr>
          <w:color w:val="auto"/>
        </w:rPr>
        <w:t>udamed</w:t>
      </w:r>
      <w:proofErr w:type="spellEnd"/>
      <w:r w:rsidR="16E25627" w:rsidRPr="00237647">
        <w:rPr>
          <w:color w:val="auto"/>
        </w:rPr>
        <w:t xml:space="preserve"> vil forenkle prosessen ved å gi </w:t>
      </w:r>
      <w:r w:rsidR="6D69DE6F" w:rsidRPr="00237647">
        <w:rPr>
          <w:color w:val="auto"/>
        </w:rPr>
        <w:t xml:space="preserve">mulighet til </w:t>
      </w:r>
      <w:r w:rsidR="1370A9D5" w:rsidRPr="00237647">
        <w:rPr>
          <w:color w:val="auto"/>
        </w:rPr>
        <w:t xml:space="preserve">å sende inn </w:t>
      </w:r>
      <w:r w:rsidR="30CBD8EF" w:rsidRPr="00237647">
        <w:rPr>
          <w:color w:val="auto"/>
        </w:rPr>
        <w:t xml:space="preserve">kun </w:t>
      </w:r>
      <w:r w:rsidR="1370A9D5" w:rsidRPr="00237647">
        <w:rPr>
          <w:color w:val="auto"/>
        </w:rPr>
        <w:t>én felles søknad for multisenterstudier som skal for</w:t>
      </w:r>
      <w:r w:rsidR="7F3B686A" w:rsidRPr="00237647">
        <w:rPr>
          <w:color w:val="auto"/>
        </w:rPr>
        <w:t>egå på tvers av landegrenser i Europa</w:t>
      </w:r>
      <w:r w:rsidR="7FF8D839" w:rsidRPr="00237647">
        <w:rPr>
          <w:color w:val="auto"/>
        </w:rPr>
        <w:t>.</w:t>
      </w:r>
    </w:p>
    <w:p w14:paraId="59D1EBD6" w14:textId="060AFE77" w:rsidR="00AA43AB" w:rsidRPr="00237647" w:rsidRDefault="00AA43AB" w:rsidP="4A207839">
      <w:pPr>
        <w:rPr>
          <w:color w:val="auto"/>
        </w:rPr>
      </w:pPr>
    </w:p>
    <w:p w14:paraId="0CD5B4FC" w14:textId="17203701" w:rsidR="00AD15AB" w:rsidRPr="00237647" w:rsidRDefault="7A6ADAB9" w:rsidP="4A207839">
      <w:pPr>
        <w:rPr>
          <w:color w:val="auto"/>
        </w:rPr>
      </w:pPr>
      <w:r w:rsidRPr="00237647">
        <w:rPr>
          <w:color w:val="auto"/>
        </w:rPr>
        <w:t xml:space="preserve">De økte kravene til kliniske data i Medical Device </w:t>
      </w:r>
      <w:proofErr w:type="spellStart"/>
      <w:r w:rsidRPr="00237647">
        <w:rPr>
          <w:color w:val="auto"/>
        </w:rPr>
        <w:t>Regulation</w:t>
      </w:r>
      <w:proofErr w:type="spellEnd"/>
      <w:r w:rsidRPr="00237647">
        <w:rPr>
          <w:color w:val="auto"/>
        </w:rPr>
        <w:t xml:space="preserve"> (MDR) sammenlignet med tidligere Medical Device Directive (MDD) er betydelige. Dette er noen av de viktigste endringene:</w:t>
      </w:r>
    </w:p>
    <w:p w14:paraId="7D8CE06A" w14:textId="288CFB02" w:rsidR="00AD15AB" w:rsidRPr="00237647" w:rsidRDefault="7A6ADAB9" w:rsidP="4A207839">
      <w:pPr>
        <w:pStyle w:val="Listeavsnitt"/>
        <w:numPr>
          <w:ilvl w:val="0"/>
          <w:numId w:val="45"/>
        </w:numPr>
        <w:rPr>
          <w:color w:val="auto"/>
        </w:rPr>
      </w:pPr>
      <w:r w:rsidRPr="00237647">
        <w:rPr>
          <w:color w:val="auto"/>
        </w:rPr>
        <w:t>Styrket klinisk evaluering: MDR krever en grundigere og mer omfattende klinisk evaluering for høyrisiko-medisinsk utstyr. Dette inkluderer en grundig gjennomgang av kliniske data, inkludert kliniske studier, post-markedsovervåking og vitenskapelig litteratur.</w:t>
      </w:r>
    </w:p>
    <w:p w14:paraId="208A3D8B" w14:textId="7A2CF178" w:rsidR="00AD15AB" w:rsidRPr="00237647" w:rsidRDefault="7A6ADAB9" w:rsidP="4A207839">
      <w:pPr>
        <w:pStyle w:val="Listeavsnitt"/>
        <w:numPr>
          <w:ilvl w:val="0"/>
          <w:numId w:val="45"/>
        </w:numPr>
        <w:rPr>
          <w:color w:val="auto"/>
        </w:rPr>
      </w:pPr>
      <w:r w:rsidRPr="00237647">
        <w:rPr>
          <w:color w:val="auto"/>
        </w:rPr>
        <w:t xml:space="preserve">Økt </w:t>
      </w:r>
      <w:proofErr w:type="gramStart"/>
      <w:r w:rsidRPr="00237647">
        <w:rPr>
          <w:color w:val="auto"/>
        </w:rPr>
        <w:t>fokus</w:t>
      </w:r>
      <w:proofErr w:type="gramEnd"/>
      <w:r w:rsidRPr="00237647">
        <w:rPr>
          <w:color w:val="auto"/>
        </w:rPr>
        <w:t xml:space="preserve"> på post-markedsovervåking: MDR legger større vekt på å samle inn og analysere data etter at produktet er på markedet. Dette inkluderer reaktiv overvåking basert på kundeklager og proaktiv overvåking gjennom kliniske oppfølgingsstudier.</w:t>
      </w:r>
    </w:p>
    <w:p w14:paraId="7267BAB6" w14:textId="292FEB45" w:rsidR="00AD15AB" w:rsidRPr="00237647" w:rsidRDefault="7A6ADAB9" w:rsidP="4A207839">
      <w:pPr>
        <w:pStyle w:val="Listeavsnitt"/>
        <w:numPr>
          <w:ilvl w:val="0"/>
          <w:numId w:val="45"/>
        </w:numPr>
        <w:rPr>
          <w:color w:val="auto"/>
        </w:rPr>
      </w:pPr>
      <w:r w:rsidRPr="00237647">
        <w:rPr>
          <w:color w:val="auto"/>
        </w:rPr>
        <w:t>Krav til kliniske oppfølgingsstudier: MDR krever at produsenter gjennomfører kliniske oppfølgingsstudier for å bekrefte produktets ytelse og sikkerhet over tid.</w:t>
      </w:r>
    </w:p>
    <w:p w14:paraId="1072C152" w14:textId="151C474D" w:rsidR="00AD15AB" w:rsidRPr="00237647" w:rsidRDefault="7A6ADAB9" w:rsidP="4A207839">
      <w:pPr>
        <w:pStyle w:val="Listeavsnitt"/>
        <w:numPr>
          <w:ilvl w:val="0"/>
          <w:numId w:val="45"/>
        </w:numPr>
        <w:rPr>
          <w:color w:val="auto"/>
        </w:rPr>
      </w:pPr>
      <w:proofErr w:type="spellStart"/>
      <w:r w:rsidRPr="00237647">
        <w:rPr>
          <w:color w:val="auto"/>
        </w:rPr>
        <w:t>Outsourcing</w:t>
      </w:r>
      <w:proofErr w:type="spellEnd"/>
      <w:r w:rsidRPr="00237647">
        <w:rPr>
          <w:color w:val="auto"/>
        </w:rPr>
        <w:t xml:space="preserve"> av klinisk evaluering: Over 60% av produsenter av høyrisiko-medisinsk utstyr har </w:t>
      </w:r>
      <w:proofErr w:type="spellStart"/>
      <w:r w:rsidRPr="00237647">
        <w:rPr>
          <w:color w:val="auto"/>
        </w:rPr>
        <w:t>outsourcet</w:t>
      </w:r>
      <w:proofErr w:type="spellEnd"/>
      <w:r w:rsidRPr="00237647">
        <w:rPr>
          <w:color w:val="auto"/>
        </w:rPr>
        <w:t xml:space="preserve"> skrivingen av sine kliniske evalueringsrapporter. Dette kan være en utfordring for å sikre at rapportene er grundige og nøyaktige.</w:t>
      </w:r>
    </w:p>
    <w:p w14:paraId="1D6F1B2B" w14:textId="09B1CCCE" w:rsidR="00AD15AB" w:rsidRPr="00237647" w:rsidRDefault="7A6ADAB9" w:rsidP="4A207839">
      <w:pPr>
        <w:pStyle w:val="Listeavsnitt"/>
        <w:numPr>
          <w:ilvl w:val="0"/>
          <w:numId w:val="45"/>
        </w:numPr>
        <w:rPr>
          <w:color w:val="auto"/>
        </w:rPr>
      </w:pPr>
      <w:r w:rsidRPr="00237647">
        <w:rPr>
          <w:color w:val="auto"/>
        </w:rPr>
        <w:t>Utdanningsbehov: Produsenter investerer mye i opplæring om klinisk evaluering for å møte de nye kravene.</w:t>
      </w:r>
    </w:p>
    <w:p w14:paraId="4A71F2D3" w14:textId="7776BFAC" w:rsidR="00AD15AB" w:rsidRPr="00237647" w:rsidRDefault="7A6ADAB9" w:rsidP="4A207839">
      <w:pPr>
        <w:pStyle w:val="Listeavsnitt"/>
        <w:numPr>
          <w:ilvl w:val="0"/>
          <w:numId w:val="45"/>
        </w:numPr>
        <w:rPr>
          <w:color w:val="auto"/>
        </w:rPr>
      </w:pPr>
      <w:r w:rsidRPr="00237647">
        <w:rPr>
          <w:color w:val="auto"/>
        </w:rPr>
        <w:t xml:space="preserve">Ulikheter mellom ulike </w:t>
      </w:r>
      <w:proofErr w:type="spellStart"/>
      <w:r w:rsidRPr="00237647">
        <w:rPr>
          <w:color w:val="auto"/>
        </w:rPr>
        <w:t>notified</w:t>
      </w:r>
      <w:proofErr w:type="spellEnd"/>
      <w:r w:rsidRPr="00237647">
        <w:rPr>
          <w:color w:val="auto"/>
        </w:rPr>
        <w:t xml:space="preserve"> </w:t>
      </w:r>
      <w:proofErr w:type="spellStart"/>
      <w:r w:rsidRPr="00237647">
        <w:rPr>
          <w:color w:val="auto"/>
        </w:rPr>
        <w:t>bodies</w:t>
      </w:r>
      <w:proofErr w:type="spellEnd"/>
      <w:r w:rsidRPr="00237647">
        <w:rPr>
          <w:color w:val="auto"/>
        </w:rPr>
        <w:t xml:space="preserve">: Det er rapportert inkonsekvenser i kravene til kliniske data fra forskjellige </w:t>
      </w:r>
      <w:proofErr w:type="spellStart"/>
      <w:r w:rsidRPr="00237647">
        <w:rPr>
          <w:color w:val="auto"/>
        </w:rPr>
        <w:t>notified</w:t>
      </w:r>
      <w:proofErr w:type="spellEnd"/>
      <w:r w:rsidRPr="00237647">
        <w:rPr>
          <w:color w:val="auto"/>
        </w:rPr>
        <w:t xml:space="preserve"> </w:t>
      </w:r>
      <w:proofErr w:type="spellStart"/>
      <w:r w:rsidRPr="00237647">
        <w:rPr>
          <w:color w:val="auto"/>
        </w:rPr>
        <w:t>bodies</w:t>
      </w:r>
      <w:proofErr w:type="spellEnd"/>
      <w:r w:rsidRPr="00237647">
        <w:rPr>
          <w:color w:val="auto"/>
        </w:rPr>
        <w:t>, noe som kan skape utfordringer for produsenter.</w:t>
      </w:r>
    </w:p>
    <w:p w14:paraId="6BA41E30" w14:textId="5EC4367D" w:rsidR="00AD15AB" w:rsidRPr="001307B4" w:rsidRDefault="001307B4" w:rsidP="4A207839">
      <w:pPr>
        <w:rPr>
          <w:iCs/>
          <w:color w:val="auto"/>
          <w:szCs w:val="18"/>
        </w:rPr>
      </w:pPr>
      <w:r>
        <w:rPr>
          <w:iCs/>
          <w:color w:val="auto"/>
          <w:szCs w:val="18"/>
          <w:lang w:val="en-US"/>
        </w:rPr>
        <w:t>(</w:t>
      </w:r>
      <w:r w:rsidR="00935540">
        <w:rPr>
          <w:iCs/>
          <w:color w:val="auto"/>
          <w:szCs w:val="18"/>
          <w:lang w:val="en-US"/>
        </w:rPr>
        <w:t>Kilde</w:t>
      </w:r>
      <w:r w:rsidR="7A6ADAB9" w:rsidRPr="001307B4">
        <w:rPr>
          <w:iCs/>
          <w:color w:val="auto"/>
          <w:szCs w:val="18"/>
          <w:lang w:val="en-US"/>
        </w:rPr>
        <w:t xml:space="preserve">: Kearney B, McDermott O. The Challenges for Manufacturers of the Increased Clinical Evaluation in the European Medical Device Regulations: A Quantitative Study. </w:t>
      </w:r>
      <w:proofErr w:type="spellStart"/>
      <w:r w:rsidR="7A6ADAB9" w:rsidRPr="001307B4">
        <w:rPr>
          <w:iCs/>
          <w:color w:val="auto"/>
          <w:szCs w:val="18"/>
          <w:lang w:val="en-US"/>
        </w:rPr>
        <w:t>Ther</w:t>
      </w:r>
      <w:proofErr w:type="spellEnd"/>
      <w:r w:rsidR="7A6ADAB9" w:rsidRPr="001307B4">
        <w:rPr>
          <w:iCs/>
          <w:color w:val="auto"/>
          <w:szCs w:val="18"/>
          <w:lang w:val="en-US"/>
        </w:rPr>
        <w:t xml:space="preserve"> </w:t>
      </w:r>
      <w:proofErr w:type="spellStart"/>
      <w:r w:rsidR="7A6ADAB9" w:rsidRPr="001307B4">
        <w:rPr>
          <w:iCs/>
          <w:color w:val="auto"/>
          <w:szCs w:val="18"/>
          <w:lang w:val="en-US"/>
        </w:rPr>
        <w:t>Innov</w:t>
      </w:r>
      <w:proofErr w:type="spellEnd"/>
      <w:r w:rsidR="7A6ADAB9" w:rsidRPr="001307B4">
        <w:rPr>
          <w:iCs/>
          <w:color w:val="auto"/>
          <w:szCs w:val="18"/>
          <w:lang w:val="en-US"/>
        </w:rPr>
        <w:t xml:space="preserve"> </w:t>
      </w:r>
      <w:proofErr w:type="spellStart"/>
      <w:r w:rsidR="7A6ADAB9" w:rsidRPr="001307B4">
        <w:rPr>
          <w:iCs/>
          <w:color w:val="auto"/>
          <w:szCs w:val="18"/>
          <w:lang w:val="en-US"/>
        </w:rPr>
        <w:t>Regul</w:t>
      </w:r>
      <w:proofErr w:type="spellEnd"/>
      <w:r w:rsidR="7A6ADAB9" w:rsidRPr="001307B4">
        <w:rPr>
          <w:iCs/>
          <w:color w:val="auto"/>
          <w:szCs w:val="18"/>
          <w:lang w:val="en-US"/>
        </w:rPr>
        <w:t xml:space="preserve"> Sci. 2023 Jul;57(4):783-796. </w:t>
      </w:r>
      <w:proofErr w:type="spellStart"/>
      <w:r w:rsidR="7A6ADAB9" w:rsidRPr="001307B4">
        <w:rPr>
          <w:iCs/>
          <w:color w:val="auto"/>
          <w:szCs w:val="18"/>
          <w:lang w:val="en-US"/>
        </w:rPr>
        <w:t>doi</w:t>
      </w:r>
      <w:proofErr w:type="spellEnd"/>
      <w:r w:rsidR="7A6ADAB9" w:rsidRPr="001307B4">
        <w:rPr>
          <w:iCs/>
          <w:color w:val="auto"/>
          <w:szCs w:val="18"/>
          <w:lang w:val="en-US"/>
        </w:rPr>
        <w:t xml:space="preserve">: 10.1007/s43441-023-00527-z. </w:t>
      </w:r>
      <w:proofErr w:type="spellStart"/>
      <w:r w:rsidR="7A6ADAB9" w:rsidRPr="001307B4">
        <w:rPr>
          <w:iCs/>
          <w:color w:val="auto"/>
          <w:szCs w:val="18"/>
          <w:lang w:val="en-US"/>
        </w:rPr>
        <w:t>Epub</w:t>
      </w:r>
      <w:proofErr w:type="spellEnd"/>
      <w:r w:rsidR="7A6ADAB9" w:rsidRPr="001307B4">
        <w:rPr>
          <w:iCs/>
          <w:color w:val="auto"/>
          <w:szCs w:val="18"/>
          <w:lang w:val="en-US"/>
        </w:rPr>
        <w:t xml:space="preserve"> 2023 May 17. </w:t>
      </w:r>
      <w:r w:rsidR="7A6ADAB9" w:rsidRPr="001307B4">
        <w:rPr>
          <w:iCs/>
          <w:color w:val="auto"/>
          <w:szCs w:val="18"/>
        </w:rPr>
        <w:t>PMID: 37198369; PMCID: PMC10276779.</w:t>
      </w:r>
      <w:r>
        <w:rPr>
          <w:iCs/>
          <w:color w:val="auto"/>
          <w:szCs w:val="18"/>
        </w:rPr>
        <w:t>)</w:t>
      </w:r>
    </w:p>
    <w:p w14:paraId="352FAB11" w14:textId="383E8410" w:rsidR="4A207839" w:rsidRPr="00237647" w:rsidRDefault="4A207839" w:rsidP="4A207839">
      <w:pPr>
        <w:spacing w:line="259" w:lineRule="auto"/>
        <w:rPr>
          <w:color w:val="auto"/>
        </w:rPr>
      </w:pPr>
    </w:p>
    <w:p w14:paraId="6E953768" w14:textId="093B8EAC" w:rsidR="00AD15AB" w:rsidRPr="00237647" w:rsidRDefault="7A6ADAB9" w:rsidP="4A207839">
      <w:pPr>
        <w:spacing w:line="259" w:lineRule="auto"/>
        <w:rPr>
          <w:color w:val="auto"/>
        </w:rPr>
      </w:pPr>
      <w:r w:rsidRPr="00237647">
        <w:rPr>
          <w:color w:val="auto"/>
        </w:rPr>
        <w:t>Disse endringene er ment å forbedre sikkerheten og ytelsen til medisinsk utstyr, men de kan også føre til utfordringer for produsenter i overgangen til MDR.</w:t>
      </w:r>
      <w:r w:rsidR="5657195E" w:rsidRPr="00237647">
        <w:rPr>
          <w:color w:val="auto"/>
        </w:rPr>
        <w:t xml:space="preserve"> </w:t>
      </w:r>
      <w:r w:rsidR="4A207839" w:rsidRPr="00237647">
        <w:rPr>
          <w:color w:val="auto"/>
        </w:rPr>
        <w:t xml:space="preserve">I motsetning til tidligere, stilles det nå også store krav til ikke bare medisinsk utstyr med formål om CE-merking, men også medisinsk utstyr uten formål om CE-merking. </w:t>
      </w:r>
      <w:r w:rsidR="442BBA76" w:rsidRPr="00237647">
        <w:rPr>
          <w:color w:val="auto"/>
        </w:rPr>
        <w:t xml:space="preserve">Dette gjelder for eksempel egentilvirket medisinsk utstyr, </w:t>
      </w:r>
      <w:r w:rsidR="68057682" w:rsidRPr="00237647">
        <w:rPr>
          <w:color w:val="auto"/>
        </w:rPr>
        <w:t>som</w:t>
      </w:r>
      <w:r w:rsidR="442BBA76" w:rsidRPr="00237647">
        <w:rPr>
          <w:color w:val="auto"/>
        </w:rPr>
        <w:t xml:space="preserve"> helseinstitusjonen selv utvikl</w:t>
      </w:r>
      <w:r w:rsidR="3C10225B" w:rsidRPr="00237647">
        <w:rPr>
          <w:color w:val="auto"/>
        </w:rPr>
        <w:t>er</w:t>
      </w:r>
      <w:r w:rsidR="277A947B" w:rsidRPr="00237647">
        <w:rPr>
          <w:color w:val="auto"/>
        </w:rPr>
        <w:t>, eller utstyr i forskningsprosjekter som ikke nødvendigvis skal kommersialiseres.</w:t>
      </w:r>
    </w:p>
    <w:p w14:paraId="23C89A7F" w14:textId="77777777" w:rsidR="00AD15AB" w:rsidRPr="00237647" w:rsidRDefault="00AD15AB" w:rsidP="4A207839">
      <w:pPr>
        <w:rPr>
          <w:color w:val="auto"/>
        </w:rPr>
      </w:pPr>
    </w:p>
    <w:p w14:paraId="4F306BAA" w14:textId="77777777" w:rsidR="00CA2218" w:rsidRPr="00237647" w:rsidRDefault="1AABD875" w:rsidP="4A207839">
      <w:pPr>
        <w:rPr>
          <w:color w:val="auto"/>
        </w:rPr>
      </w:pPr>
      <w:r w:rsidRPr="00237647">
        <w:rPr>
          <w:color w:val="auto"/>
        </w:rPr>
        <w:lastRenderedPageBreak/>
        <w:t>Tidligere var det et in-house unntak som tillot helseinstitusjoner å utvikle sitt eget medisinske utstyr uten å følge de samme strenge kravene som kommersielle produsenter. Her er noen av kravene som gjaldt for dette unntaket:</w:t>
      </w:r>
    </w:p>
    <w:p w14:paraId="0F9F4662" w14:textId="77777777" w:rsidR="00CA2218" w:rsidRPr="00237647" w:rsidRDefault="1AABD875" w:rsidP="4A207839">
      <w:pPr>
        <w:pStyle w:val="Listeavsnitt"/>
        <w:numPr>
          <w:ilvl w:val="0"/>
          <w:numId w:val="47"/>
        </w:numPr>
        <w:rPr>
          <w:color w:val="auto"/>
        </w:rPr>
      </w:pPr>
      <w:r w:rsidRPr="00237647">
        <w:rPr>
          <w:color w:val="auto"/>
        </w:rPr>
        <w:t>Offentliggjøringserklæring: Helseinstitusjonen måtte offentliggjøre en erklæring som inneholdt følgende informasjon:</w:t>
      </w:r>
    </w:p>
    <w:p w14:paraId="6C5BC71C" w14:textId="77777777" w:rsidR="00CA2218" w:rsidRPr="00237647" w:rsidRDefault="1AABD875" w:rsidP="4A207839">
      <w:pPr>
        <w:pStyle w:val="Listeavsnitt"/>
        <w:numPr>
          <w:ilvl w:val="1"/>
          <w:numId w:val="47"/>
        </w:numPr>
        <w:rPr>
          <w:color w:val="auto"/>
        </w:rPr>
      </w:pPr>
      <w:r w:rsidRPr="00237647">
        <w:rPr>
          <w:color w:val="auto"/>
        </w:rPr>
        <w:t>Navn og adresse på helseinstitusjonen.</w:t>
      </w:r>
    </w:p>
    <w:p w14:paraId="17F26F24" w14:textId="77777777" w:rsidR="00CA2218" w:rsidRPr="00237647" w:rsidRDefault="1AABD875" w:rsidP="4A207839">
      <w:pPr>
        <w:pStyle w:val="Listeavsnitt"/>
        <w:numPr>
          <w:ilvl w:val="1"/>
          <w:numId w:val="47"/>
        </w:numPr>
        <w:rPr>
          <w:color w:val="auto"/>
        </w:rPr>
      </w:pPr>
      <w:r w:rsidRPr="00237647">
        <w:rPr>
          <w:color w:val="auto"/>
        </w:rPr>
        <w:t>Opplysninger som kunne identifisere utstyret.</w:t>
      </w:r>
    </w:p>
    <w:p w14:paraId="4A9E7632" w14:textId="4A7ACC8C" w:rsidR="00CA2218" w:rsidRPr="00237647" w:rsidRDefault="1AABD875" w:rsidP="4A207839">
      <w:pPr>
        <w:pStyle w:val="Listeavsnitt"/>
        <w:numPr>
          <w:ilvl w:val="1"/>
          <w:numId w:val="47"/>
        </w:numPr>
        <w:rPr>
          <w:color w:val="auto"/>
        </w:rPr>
      </w:pPr>
      <w:r w:rsidRPr="00237647">
        <w:rPr>
          <w:color w:val="auto"/>
        </w:rPr>
        <w:t>En erklæring om at utstyret oppfylte kravene til sikkerhet og ytelse i vedlegg til regelverket, samt en begrunnelse for eventuelle krav som ikke var oppfylt.</w:t>
      </w:r>
    </w:p>
    <w:p w14:paraId="3C2925E5" w14:textId="77777777" w:rsidR="00CA2218" w:rsidRPr="00237647" w:rsidRDefault="1AABD875" w:rsidP="4A207839">
      <w:pPr>
        <w:pStyle w:val="Listeavsnitt"/>
        <w:numPr>
          <w:ilvl w:val="0"/>
          <w:numId w:val="47"/>
        </w:numPr>
        <w:rPr>
          <w:color w:val="auto"/>
        </w:rPr>
      </w:pPr>
      <w:r w:rsidRPr="00237647">
        <w:rPr>
          <w:color w:val="auto"/>
        </w:rPr>
        <w:t xml:space="preserve">Begrensninger: Det var ingen spesifikke begrensninger på hvilke typer utstyr som kunne </w:t>
      </w:r>
      <w:proofErr w:type="spellStart"/>
      <w:r w:rsidRPr="00237647">
        <w:rPr>
          <w:color w:val="auto"/>
        </w:rPr>
        <w:t>egenutvikles</w:t>
      </w:r>
      <w:proofErr w:type="spellEnd"/>
      <w:r w:rsidRPr="00237647">
        <w:rPr>
          <w:color w:val="auto"/>
        </w:rPr>
        <w:t>. Helseinstitusjonene hadde relativt stor frihet til å utvikle utstyr etter egne behov og krav.</w:t>
      </w:r>
    </w:p>
    <w:p w14:paraId="119F91D8" w14:textId="77777777" w:rsidR="00CA2218" w:rsidRPr="00237647" w:rsidRDefault="1AABD875" w:rsidP="4A207839">
      <w:pPr>
        <w:pStyle w:val="Listeavsnitt"/>
        <w:numPr>
          <w:ilvl w:val="0"/>
          <w:numId w:val="47"/>
        </w:numPr>
        <w:rPr>
          <w:color w:val="auto"/>
        </w:rPr>
      </w:pPr>
      <w:r w:rsidRPr="00237647">
        <w:rPr>
          <w:color w:val="auto"/>
        </w:rPr>
        <w:t>Inspeksjonsadgang: Helseinstitusjonene måtte gi tilsynsmyndighetene adgang til å inspisere deres aktiviteter knyttet til egenutviklet utstyr 1.</w:t>
      </w:r>
    </w:p>
    <w:p w14:paraId="768CF771" w14:textId="31AAC22B" w:rsidR="00CA2218" w:rsidRPr="00237647" w:rsidRDefault="1AABD875" w:rsidP="4A207839">
      <w:pPr>
        <w:rPr>
          <w:color w:val="auto"/>
        </w:rPr>
      </w:pPr>
      <w:r w:rsidRPr="00237647">
        <w:rPr>
          <w:color w:val="auto"/>
        </w:rPr>
        <w:t xml:space="preserve">Det er viktig å merke seg at dette unntaket gjaldt tidligere, og med innføringen av Medical Device </w:t>
      </w:r>
      <w:proofErr w:type="spellStart"/>
      <w:r w:rsidRPr="00237647">
        <w:rPr>
          <w:color w:val="auto"/>
        </w:rPr>
        <w:t>Regulation</w:t>
      </w:r>
      <w:proofErr w:type="spellEnd"/>
      <w:r w:rsidRPr="00237647">
        <w:rPr>
          <w:color w:val="auto"/>
        </w:rPr>
        <w:t xml:space="preserve"> (MDR) har det kommet strengere krav til klinisk evaluering og dokumentasjon, </w:t>
      </w:r>
      <w:r w:rsidRPr="00237647">
        <w:rPr>
          <w:b/>
          <w:bCs/>
          <w:color w:val="auto"/>
        </w:rPr>
        <w:t>også for egenutviklet utstyr</w:t>
      </w:r>
      <w:r w:rsidRPr="00237647">
        <w:rPr>
          <w:color w:val="auto"/>
        </w:rPr>
        <w:t xml:space="preserve">. Helseinstitusjoner må nå følge de </w:t>
      </w:r>
      <w:r w:rsidRPr="00237647">
        <w:rPr>
          <w:b/>
          <w:bCs/>
          <w:color w:val="auto"/>
        </w:rPr>
        <w:t>samme kravene som kommersielle produsenter</w:t>
      </w:r>
      <w:r w:rsidRPr="00237647">
        <w:rPr>
          <w:color w:val="auto"/>
        </w:rPr>
        <w:t xml:space="preserve"> når de utvikler medisinsk utstyr.</w:t>
      </w:r>
    </w:p>
    <w:p w14:paraId="153CB2AC" w14:textId="43C8FCBE" w:rsidR="00A24C14" w:rsidRPr="00237647" w:rsidRDefault="00A24C14" w:rsidP="4A207839">
      <w:pPr>
        <w:rPr>
          <w:color w:val="auto"/>
        </w:rPr>
      </w:pPr>
    </w:p>
    <w:p w14:paraId="611D4B13" w14:textId="4819DB18" w:rsidR="00AA43AB" w:rsidRPr="00237647" w:rsidRDefault="71983B8B" w:rsidP="4A207839">
      <w:pPr>
        <w:rPr>
          <w:color w:val="auto"/>
        </w:rPr>
      </w:pPr>
      <w:r w:rsidRPr="00237647">
        <w:rPr>
          <w:color w:val="auto"/>
        </w:rPr>
        <w:t xml:space="preserve">For å løfte kompetansen på medisinsk utstyr i Norge jobber </w:t>
      </w:r>
      <w:r w:rsidR="2EA130B0" w:rsidRPr="00237647">
        <w:rPr>
          <w:color w:val="auto"/>
        </w:rPr>
        <w:t>St</w:t>
      </w:r>
      <w:r w:rsidR="7A6ADAB9" w:rsidRPr="00237647">
        <w:rPr>
          <w:color w:val="auto"/>
        </w:rPr>
        <w:t xml:space="preserve">. </w:t>
      </w:r>
      <w:r w:rsidR="2EA130B0" w:rsidRPr="00237647">
        <w:rPr>
          <w:color w:val="auto"/>
        </w:rPr>
        <w:t>Olav</w:t>
      </w:r>
      <w:r w:rsidR="7A6ADAB9" w:rsidRPr="00237647">
        <w:rPr>
          <w:color w:val="auto"/>
        </w:rPr>
        <w:t>s hospital</w:t>
      </w:r>
      <w:r w:rsidR="51FF4579" w:rsidRPr="00237647">
        <w:rPr>
          <w:color w:val="auto"/>
        </w:rPr>
        <w:t xml:space="preserve"> med utvikling</w:t>
      </w:r>
      <w:r w:rsidR="2EA130B0" w:rsidRPr="00237647">
        <w:rPr>
          <w:color w:val="auto"/>
        </w:rPr>
        <w:t xml:space="preserve"> av SOP om </w:t>
      </w:r>
      <w:r w:rsidR="00565A46" w:rsidRPr="00237647">
        <w:rPr>
          <w:color w:val="auto"/>
        </w:rPr>
        <w:t xml:space="preserve">uttesting av </w:t>
      </w:r>
      <w:r w:rsidR="084C920B" w:rsidRPr="00237647">
        <w:rPr>
          <w:color w:val="auto"/>
        </w:rPr>
        <w:t>m</w:t>
      </w:r>
      <w:r w:rsidR="7A6ADAB9" w:rsidRPr="00237647">
        <w:rPr>
          <w:color w:val="auto"/>
        </w:rPr>
        <w:t>edisinsk utstyr</w:t>
      </w:r>
      <w:r w:rsidR="1FF2788D" w:rsidRPr="00237647">
        <w:rPr>
          <w:color w:val="auto"/>
        </w:rPr>
        <w:t xml:space="preserve">, og </w:t>
      </w:r>
      <w:r w:rsidR="1891B38E" w:rsidRPr="00237647">
        <w:rPr>
          <w:color w:val="auto"/>
        </w:rPr>
        <w:t>er jevnlig med å arrangere</w:t>
      </w:r>
      <w:r w:rsidR="1FF2788D" w:rsidRPr="00237647">
        <w:rPr>
          <w:color w:val="auto"/>
        </w:rPr>
        <w:t xml:space="preserve"> kurs i medisinsk utstyr og kliniske utprøvinger</w:t>
      </w:r>
      <w:r w:rsidR="77FED1EF" w:rsidRPr="00237647">
        <w:rPr>
          <w:color w:val="auto"/>
        </w:rPr>
        <w:t>.</w:t>
      </w:r>
    </w:p>
    <w:p w14:paraId="326BFB6B" w14:textId="77777777" w:rsidR="00AD15AB" w:rsidRPr="00A514CB" w:rsidRDefault="00AD15AB" w:rsidP="00731C0E"/>
    <w:p w14:paraId="3BD60C1E" w14:textId="77777777" w:rsidR="00CB550B" w:rsidRDefault="00CB550B" w:rsidP="00CB550B">
      <w:pPr>
        <w:pStyle w:val="Overskrift3"/>
      </w:pPr>
      <w:r>
        <w:t>Andre intervensjoner</w:t>
      </w:r>
    </w:p>
    <w:p w14:paraId="1D9BAA2D" w14:textId="6C895CD1" w:rsidR="00CB550B" w:rsidRDefault="00850F7E" w:rsidP="00821450">
      <w:r>
        <w:t>Dette er i all hovedsak studier som gjennomføres under Helseforskningsloven</w:t>
      </w:r>
      <w:r w:rsidR="001307B4">
        <w:t>, og</w:t>
      </w:r>
      <w:r>
        <w:t xml:space="preserve"> som ikke styres av lovgivning for studier med legemidler eller medisinsk utstyr. Slike skal søkes og </w:t>
      </w:r>
      <w:proofErr w:type="spellStart"/>
      <w:r>
        <w:t>forhåndsgodkjennes</w:t>
      </w:r>
      <w:proofErr w:type="spellEnd"/>
      <w:r>
        <w:t xml:space="preserve"> av REK. Fra et kvalitets-perspektiv kan det oppleves som en utfordring at monitorering ikke blir gjennomført, da det ikke er lovpålagt. NorCRIN har noe informasjon på sine sider om denne typen studier.</w:t>
      </w:r>
      <w:r w:rsidR="001307B4">
        <w:t xml:space="preserve"> </w:t>
      </w:r>
    </w:p>
    <w:p w14:paraId="14603A2C" w14:textId="77777777" w:rsidR="00C55FD8" w:rsidRPr="001307B4" w:rsidRDefault="00C55FD8" w:rsidP="00821450"/>
    <w:p w14:paraId="4AA46900" w14:textId="77777777" w:rsidR="00B523B9" w:rsidRDefault="00B523B9" w:rsidP="00B523B9">
      <w:pPr>
        <w:pStyle w:val="Overskrift2"/>
      </w:pPr>
      <w:bookmarkStart w:id="18" w:name="_Toc192525152"/>
      <w:r>
        <w:t>Observasjonsstudier</w:t>
      </w:r>
      <w:bookmarkEnd w:id="18"/>
    </w:p>
    <w:p w14:paraId="45F4F19C" w14:textId="32647EF6" w:rsidR="00D86023" w:rsidRDefault="00D86023" w:rsidP="00D86023">
      <w:r w:rsidRPr="00F053F0">
        <w:t xml:space="preserve">Medisinske kliniske observasjonsstudier er forskningsstudier som observerer pasienter i en klinisk setting over tid for å </w:t>
      </w:r>
      <w:r>
        <w:t xml:space="preserve">forsøke å </w:t>
      </w:r>
      <w:r w:rsidRPr="00F053F0">
        <w:t>identifisere</w:t>
      </w:r>
      <w:r>
        <w:t xml:space="preserve"> </w:t>
      </w:r>
      <w:proofErr w:type="gramStart"/>
      <w:r>
        <w:t>potensielle</w:t>
      </w:r>
      <w:proofErr w:type="gramEnd"/>
      <w:r w:rsidRPr="00F053F0">
        <w:t xml:space="preserve"> sammenhenger mellom risikofaktorer, sykdomsutvikling og behandlingsrespons. </w:t>
      </w:r>
      <w:r w:rsidRPr="009E19EF">
        <w:t>Medisinske observasjonsstudier inkluderer kohortstudier, kasus-kontroll-studier, tvilling- og familiebaserte studier, tverrsnittsundersøkelser</w:t>
      </w:r>
      <w:r>
        <w:t>, epidemiologiske studier</w:t>
      </w:r>
      <w:r w:rsidRPr="009E19EF">
        <w:t xml:space="preserve"> og </w:t>
      </w:r>
      <w:proofErr w:type="gramStart"/>
      <w:r w:rsidRPr="009E19EF">
        <w:t>case</w:t>
      </w:r>
      <w:proofErr w:type="gramEnd"/>
      <w:r w:rsidRPr="009E19EF">
        <w:t>-seriestudier. Hver type har unike fordeler og begrensninger</w:t>
      </w:r>
      <w:r>
        <w:t>,</w:t>
      </w:r>
      <w:r w:rsidRPr="009E19EF">
        <w:t xml:space="preserve"> og brukes avhengig av forskningsspørsmålet og tilgjengelige ressurser.</w:t>
      </w:r>
      <w:r>
        <w:t xml:space="preserve"> </w:t>
      </w:r>
      <w:r w:rsidRPr="00F053F0">
        <w:t xml:space="preserve">Til forskjell fra randomiserte </w:t>
      </w:r>
      <w:r>
        <w:t xml:space="preserve">kontrollerte </w:t>
      </w:r>
      <w:r w:rsidRPr="00F053F0">
        <w:t>studier</w:t>
      </w:r>
      <w:r>
        <w:t xml:space="preserve"> (RCT)</w:t>
      </w:r>
      <w:r w:rsidRPr="00F053F0">
        <w:t>, observeres deltakerne uten noen pålagt intervensjon. Obser</w:t>
      </w:r>
      <w:r>
        <w:t>vasjonsstudier kan genere viktige observasjoner og funn, og danne basis for hypotesegenerering</w:t>
      </w:r>
      <w:r w:rsidRPr="00F053F0">
        <w:t xml:space="preserve">, men de har begrensninger som seleksjonsbias og manglende evne til å etablere </w:t>
      </w:r>
      <w:proofErr w:type="gramStart"/>
      <w:r>
        <w:t>robuste</w:t>
      </w:r>
      <w:proofErr w:type="gramEnd"/>
      <w:r>
        <w:t xml:space="preserve"> </w:t>
      </w:r>
      <w:r w:rsidRPr="00F053F0">
        <w:t>årsakssammenhenger.</w:t>
      </w:r>
      <w:r>
        <w:t xml:space="preserve"> P</w:t>
      </w:r>
      <w:r w:rsidRPr="00484F66">
        <w:t xml:space="preserve">å grunn av dette er </w:t>
      </w:r>
      <w:r w:rsidRPr="00484F66">
        <w:lastRenderedPageBreak/>
        <w:t xml:space="preserve">resultatene fra slike studier vanligvis betraktet som mindre </w:t>
      </w:r>
      <w:proofErr w:type="gramStart"/>
      <w:r w:rsidRPr="00484F66">
        <w:t>robuste</w:t>
      </w:r>
      <w:proofErr w:type="gramEnd"/>
      <w:r w:rsidRPr="00484F66">
        <w:t xml:space="preserve"> enn resultater fra randomiserte kontrollerte studier. Imidlertid kan observasjonsstudier fortsatt gi verdifull innsikt, spesielt når det er etisk eller praktisk vanskelig å gjennomføre randomiserte studier</w:t>
      </w:r>
      <w:r>
        <w:t xml:space="preserve">, eller for </w:t>
      </w:r>
      <w:proofErr w:type="gramStart"/>
      <w:r>
        <w:t>generere</w:t>
      </w:r>
      <w:proofErr w:type="gramEnd"/>
      <w:r>
        <w:t xml:space="preserve"> hypoteser som man ønsker å forske videre på</w:t>
      </w:r>
      <w:r w:rsidRPr="00484F66">
        <w:t>.</w:t>
      </w:r>
      <w:r>
        <w:t xml:space="preserve"> </w:t>
      </w:r>
    </w:p>
    <w:p w14:paraId="60E5C869" w14:textId="77777777" w:rsidR="00D86023" w:rsidRDefault="00D86023" w:rsidP="00D86023"/>
    <w:p w14:paraId="6A463CB5" w14:textId="7881A283" w:rsidR="00D86023" w:rsidRDefault="00D86023" w:rsidP="00D86023">
      <w:r>
        <w:t>Hvilke data- og registerkilder som inngår i observasjonsstudier</w:t>
      </w:r>
      <w:r w:rsidR="005C4974">
        <w:t>,</w:t>
      </w:r>
      <w:r>
        <w:t xml:space="preserve"> varierer etter formål og omfang av studien. For mindre studier så vil ofte manuell inntasting av data i strukturerte digitale spørreskjema være vanlig, men det er ofte ønskelig å unngå dobbeltregistrering av kliniske data i både et pasientsystem og en digital spørreskjemaløsning. Dette kan i noen tilfeller løses ved å hente ut ferdig strukturerte kliniske data fra ulike pasientsystemer, enten direkte fra systemene eller via andre tekniske IKT-løsninger som f.eks. Klinisk Datavarehus (KDVH) ved Oslo Universitetssykehus eller Regional Dataanalyse Plattform (RDAP) i Helse-Sør-Øst RHF. Forsker kan spare mye tid og ressurser gitt at de data man ønsker å benytte finnes i strukturert format og at det finnes ressurser til å hente ut data for forskere. </w:t>
      </w:r>
    </w:p>
    <w:p w14:paraId="2393E06B" w14:textId="77777777" w:rsidR="00D86023" w:rsidRDefault="00D86023" w:rsidP="00D86023"/>
    <w:p w14:paraId="7B153B97" w14:textId="7E596BF9" w:rsidR="00D86023" w:rsidRDefault="00D86023" w:rsidP="00D86023">
      <w:r>
        <w:t xml:space="preserve">For større studier hvor det inngår et større antall inkluderte pasienter på tvers av mange institusjoner og Helseforetak benyttes ofte nasjonale registre, enten fra de sentrale helseregistrene i Norge </w:t>
      </w:r>
      <w:r w:rsidR="005C4974">
        <w:t xml:space="preserve">- </w:t>
      </w:r>
      <w:r>
        <w:t xml:space="preserve">slik som Kreftregisteret eller Norsk Pasientregister, eller fra Nasjonale medisinske kvalitetsregistre som for eksempel som Nasjonalt Traumeregister eller </w:t>
      </w:r>
      <w:r w:rsidRPr="00E67D97">
        <w:t xml:space="preserve">Norsk register for personer som utredes for kognitive symptomer i spesialisthelsetjenesten </w:t>
      </w:r>
      <w:r>
        <w:t>–</w:t>
      </w:r>
      <w:r w:rsidRPr="00E67D97">
        <w:t xml:space="preserve"> </w:t>
      </w:r>
      <w:proofErr w:type="spellStart"/>
      <w:r w:rsidRPr="00E67D97">
        <w:t>NorKog</w:t>
      </w:r>
      <w:proofErr w:type="spellEnd"/>
      <w:r>
        <w:t xml:space="preserve">. </w:t>
      </w:r>
    </w:p>
    <w:p w14:paraId="789BFE12" w14:textId="4B823A2B" w:rsidR="00D86023" w:rsidRDefault="00D86023" w:rsidP="00D86023">
      <w:r>
        <w:t xml:space="preserve">Forskning ved bruk av ferdige strukturerte data fra nasjonale registre, eller fra ulike lokale og regionale pasientsystemer eller IKT-plattformer, gir mange fordeler, men en av utfordringene er at det kan være en forholdsvis lang ventetid på tilgang til data fra enkelte registre. Etablering av </w:t>
      </w:r>
      <w:hyperlink r:id="rId24" w:history="1">
        <w:r w:rsidRPr="005C4974">
          <w:rPr>
            <w:rStyle w:val="Hyperkobling"/>
          </w:rPr>
          <w:t>Helsedataservice</w:t>
        </w:r>
      </w:hyperlink>
      <w:r>
        <w:t xml:space="preserve"> er et steg i riktig retning. </w:t>
      </w:r>
      <w:r w:rsidRPr="006316D0">
        <w:t>Helsedataservice skal være førstelinjetjeneste for forskere og andre som søker om tilgang til helsedata. Formålet er enklere, raskere og sikrere tilgjengeliggjøring av helsedata.</w:t>
      </w:r>
      <w:r>
        <w:t xml:space="preserve"> </w:t>
      </w:r>
    </w:p>
    <w:p w14:paraId="024AC2C1" w14:textId="77777777" w:rsidR="00E2051F" w:rsidRDefault="00E2051F" w:rsidP="00D86023"/>
    <w:p w14:paraId="35E162D7" w14:textId="65574A33" w:rsidR="00B523B9" w:rsidRDefault="00B523B9" w:rsidP="00B523B9">
      <w:pPr>
        <w:pStyle w:val="Overskrift2"/>
      </w:pPr>
      <w:bookmarkStart w:id="19" w:name="_Toc192525153"/>
      <w:r>
        <w:t>Pragmatiske studier</w:t>
      </w:r>
      <w:r w:rsidR="00880C31">
        <w:t xml:space="preserve"> og registerbaserte</w:t>
      </w:r>
      <w:r w:rsidR="00FF5072">
        <w:t xml:space="preserve"> kliniske studier</w:t>
      </w:r>
      <w:bookmarkEnd w:id="19"/>
    </w:p>
    <w:p w14:paraId="2299A08F" w14:textId="2F8C2591" w:rsidR="00B523B9" w:rsidRDefault="003245C8" w:rsidP="00B523B9">
      <w:r>
        <w:t>For</w:t>
      </w:r>
      <w:r w:rsidR="00921CA9">
        <w:t xml:space="preserve"> mange kliniske miljøer er kostandene ved å starte «tradisjonelle» </w:t>
      </w:r>
      <w:bookmarkStart w:id="20" w:name="_Hlk194308312"/>
      <w:r>
        <w:t>randomiserte og kontrollerte studier (</w:t>
      </w:r>
      <w:proofErr w:type="spellStart"/>
      <w:r w:rsidR="00921CA9">
        <w:t>RCTer</w:t>
      </w:r>
      <w:proofErr w:type="spellEnd"/>
      <w:r>
        <w:t>)</w:t>
      </w:r>
      <w:bookmarkEnd w:id="20"/>
      <w:r w:rsidR="00921CA9">
        <w:t xml:space="preserve"> høye</w:t>
      </w:r>
      <w:r>
        <w:t>. D</w:t>
      </w:r>
      <w:r w:rsidR="0060320F">
        <w:t>et kan ofte være strenge kriterier for å kunne delta i studiene</w:t>
      </w:r>
      <w:r w:rsidR="00624D2E">
        <w:t>, hvilket kan medføre at resultatene ikke er så relevante i daglig klinisk drift. For å få</w:t>
      </w:r>
      <w:r w:rsidR="0060320F">
        <w:t xml:space="preserve"> </w:t>
      </w:r>
      <w:r w:rsidR="00624D2E">
        <w:t xml:space="preserve">sikre høy </w:t>
      </w:r>
      <w:proofErr w:type="spellStart"/>
      <w:r w:rsidR="00624D2E">
        <w:t>generaliserbarhet</w:t>
      </w:r>
      <w:proofErr w:type="spellEnd"/>
      <w:r w:rsidR="00624D2E">
        <w:t xml:space="preserve"> av resultatene</w:t>
      </w:r>
      <w:r w:rsidR="0060320F">
        <w:t xml:space="preserve"> og </w:t>
      </w:r>
      <w:r w:rsidR="00624D2E">
        <w:t>lavere</w:t>
      </w:r>
      <w:r w:rsidR="0060320F">
        <w:t xml:space="preserve"> kostnad</w:t>
      </w:r>
      <w:r w:rsidR="00624D2E">
        <w:t>er</w:t>
      </w:r>
      <w:r w:rsidR="0060320F">
        <w:t xml:space="preserve">, </w:t>
      </w:r>
      <w:r w:rsidR="00921CA9">
        <w:t xml:space="preserve">ønsker </w:t>
      </w:r>
      <w:r w:rsidR="0060320F">
        <w:t>man</w:t>
      </w:r>
      <w:r w:rsidR="00996A44">
        <w:t xml:space="preserve"> noen ganger</w:t>
      </w:r>
      <w:r w:rsidR="0060320F">
        <w:t xml:space="preserve"> </w:t>
      </w:r>
      <w:r w:rsidR="00921CA9">
        <w:t xml:space="preserve">å kunne kjøre studier med </w:t>
      </w:r>
      <w:r w:rsidR="001E637B">
        <w:t xml:space="preserve">«vide» </w:t>
      </w:r>
      <w:r w:rsidR="00921CA9">
        <w:t>inklusjonskriterier, dvs</w:t>
      </w:r>
      <w:r w:rsidR="001E637B">
        <w:t>.</w:t>
      </w:r>
      <w:r w:rsidR="00921CA9">
        <w:t xml:space="preserve"> på en populasjon nær/identisk med den man møter i daglig praksis</w:t>
      </w:r>
      <w:r w:rsidR="00565A46">
        <w:t xml:space="preserve">, </w:t>
      </w:r>
      <w:r w:rsidR="00ED52D0">
        <w:t xml:space="preserve">der </w:t>
      </w:r>
      <w:r w:rsidR="00565A46">
        <w:t>man i størst mulig grad dra</w:t>
      </w:r>
      <w:r w:rsidR="00ED52D0">
        <w:t>r</w:t>
      </w:r>
      <w:r w:rsidR="00565A46">
        <w:t xml:space="preserve"> nytte av data som samles inn som del av vanlig behandling</w:t>
      </w:r>
      <w:r w:rsidR="00921CA9">
        <w:t>.</w:t>
      </w:r>
      <w:r w:rsidR="006415B5">
        <w:t xml:space="preserve"> </w:t>
      </w:r>
      <w:r w:rsidR="00AE56E1">
        <w:t>Denne type studier</w:t>
      </w:r>
      <w:r w:rsidR="00921CA9">
        <w:t xml:space="preserve"> kaller pragmatiske studier. Man ønsker gjerne </w:t>
      </w:r>
      <w:r w:rsidR="00092FD6">
        <w:t xml:space="preserve">å </w:t>
      </w:r>
      <w:r w:rsidR="00921CA9">
        <w:t>randomisere</w:t>
      </w:r>
      <w:r w:rsidR="00A86EC4">
        <w:t xml:space="preserve"> pasientene/deltakerne</w:t>
      </w:r>
      <w:r w:rsidR="00921CA9">
        <w:t>, men samtidig bruke dataene som innhentes ifm</w:t>
      </w:r>
      <w:r w:rsidR="001E637B">
        <w:t>.</w:t>
      </w:r>
      <w:r w:rsidR="00921CA9">
        <w:t xml:space="preserve"> behandling </w:t>
      </w:r>
      <w:r w:rsidR="00A86EC4">
        <w:t>i vanlig rutine</w:t>
      </w:r>
      <w:r w:rsidR="00921CA9">
        <w:t xml:space="preserve">, eller som uansett samles i ulike registre. En undergruppe av pragmatiske studier er Registerbaserte </w:t>
      </w:r>
      <w:proofErr w:type="spellStart"/>
      <w:r w:rsidR="00921CA9">
        <w:t>RCTer</w:t>
      </w:r>
      <w:proofErr w:type="spellEnd"/>
      <w:r w:rsidR="00921CA9">
        <w:t>, eller R-RCT</w:t>
      </w:r>
      <w:r>
        <w:t xml:space="preserve">, </w:t>
      </w:r>
      <w:bookmarkStart w:id="21" w:name="_Hlk194308465"/>
      <w:r>
        <w:t>der man bruker etablerte registre, men legger til rette for å kunne randomisere til ulike intervensjoner.</w:t>
      </w:r>
    </w:p>
    <w:bookmarkEnd w:id="21"/>
    <w:p w14:paraId="7AB1483D" w14:textId="405537D3" w:rsidR="00F37043" w:rsidRPr="00821450" w:rsidRDefault="00F37043" w:rsidP="00B523B9">
      <w:r>
        <w:fldChar w:fldCharType="begin"/>
      </w:r>
      <w:r>
        <w:instrText>HYPERLINK "https://www.norcrin.no/blog/pragmatiske-studier-endelig-i-gang/"</w:instrText>
      </w:r>
      <w:r>
        <w:fldChar w:fldCharType="separate"/>
      </w:r>
      <w:r w:rsidRPr="00921CA9">
        <w:rPr>
          <w:rStyle w:val="Hyperkobling"/>
        </w:rPr>
        <w:t>AP13</w:t>
      </w:r>
      <w:r>
        <w:fldChar w:fldCharType="end"/>
      </w:r>
      <w:r>
        <w:t xml:space="preserve">, </w:t>
      </w:r>
      <w:r w:rsidR="00565A46">
        <w:t xml:space="preserve">som ledes fra AHUS, </w:t>
      </w:r>
      <w:r w:rsidR="00FF5072">
        <w:t xml:space="preserve">beskriver grunnleggende forutsetninger for gjennomføring av </w:t>
      </w:r>
      <w:r w:rsidR="007F6323">
        <w:t>pragmatiske studier i Norge innenfor det juridiske rammeverket for bruk av data fra klinisk hverdag og sentrale registre</w:t>
      </w:r>
      <w:r w:rsidR="00921CA9">
        <w:t>.</w:t>
      </w:r>
      <w:r w:rsidR="00EB40C3">
        <w:t xml:space="preserve"> </w:t>
      </w:r>
    </w:p>
    <w:p w14:paraId="7E2D587F" w14:textId="77777777" w:rsidR="00B523B9" w:rsidRDefault="00B523B9" w:rsidP="00821450"/>
    <w:p w14:paraId="2CA90895" w14:textId="77777777" w:rsidR="00B523B9" w:rsidRDefault="007D077F" w:rsidP="007D077F">
      <w:pPr>
        <w:pStyle w:val="Overskrift2"/>
      </w:pPr>
      <w:bookmarkStart w:id="22" w:name="_Toc192525154"/>
      <w:r>
        <w:t>Studier i primærhelsetjenesten</w:t>
      </w:r>
      <w:bookmarkEnd w:id="22"/>
    </w:p>
    <w:p w14:paraId="6BBB0D20" w14:textId="055E32CD" w:rsidR="007D077F" w:rsidRDefault="000C3778" w:rsidP="00B523B9">
      <w:r>
        <w:t xml:space="preserve">For pasienten er skillet mellom primær- og spesialisthelsetjenesten ikke </w:t>
      </w:r>
      <w:r w:rsidR="00565A46">
        <w:t>viktig/relevant – man ønsker god behandling uavhengig av hvordan nivåene i helsetjenesten har delt oppgavene mellom seg.</w:t>
      </w:r>
      <w:r>
        <w:t xml:space="preserve"> For ansvarlig myndighet er det et ønske om å gi god helsetjeneste på tvers av administrative skillelinjer, og man ser kliniske studier som et viktig bidrag til å utvikle et bedre helhetlig pasienttilbud</w:t>
      </w:r>
      <w:r w:rsidR="0062694C">
        <w:t xml:space="preserve"> (Se Nasjonal handlingsplan for kliniske studier)</w:t>
      </w:r>
      <w:r>
        <w:t xml:space="preserve">. </w:t>
      </w:r>
      <w:r w:rsidR="0090497A">
        <w:t>Pr</w:t>
      </w:r>
      <w:r w:rsidR="0062694C">
        <w:t>.</w:t>
      </w:r>
      <w:r w:rsidR="0090497A">
        <w:t xml:space="preserve"> i dag er det ikke etablert </w:t>
      </w:r>
      <w:r w:rsidR="00E164FD">
        <w:t xml:space="preserve">nasjonale prosesser/samarbeid som sikrer </w:t>
      </w:r>
      <w:r w:rsidR="00D320F6">
        <w:t>en tilfredsstillende</w:t>
      </w:r>
      <w:r w:rsidR="0090497A">
        <w:t xml:space="preserve"> (administrativ) forskningsstøtte</w:t>
      </w:r>
      <w:r>
        <w:t xml:space="preserve"> i primærhelsetjenesten</w:t>
      </w:r>
      <w:r w:rsidR="0062694C">
        <w:t>, s</w:t>
      </w:r>
      <w:r w:rsidR="00565A46">
        <w:t>e</w:t>
      </w:r>
      <w:r w:rsidR="0062694C">
        <w:t>l</w:t>
      </w:r>
      <w:r w:rsidR="00565A46">
        <w:t xml:space="preserve">v om forholdene er litt ulike mellom helseregionene. </w:t>
      </w:r>
      <w:proofErr w:type="spellStart"/>
      <w:r w:rsidR="007D077F">
        <w:t>Praksis</w:t>
      </w:r>
      <w:r w:rsidR="00E164FD">
        <w:t>N</w:t>
      </w:r>
      <w:r w:rsidR="007D077F">
        <w:t>ett</w:t>
      </w:r>
      <w:proofErr w:type="spellEnd"/>
      <w:r>
        <w:t xml:space="preserve"> er etablert for å gjøre det enklere for fastleger å delta i kliniske studier i regi av universitetene. I slike studier er universitetet sponsor, og fastlegene utprøvere. </w:t>
      </w:r>
      <w:proofErr w:type="spellStart"/>
      <w:r>
        <w:t>Praksis</w:t>
      </w:r>
      <w:r w:rsidR="003765CB">
        <w:t>N</w:t>
      </w:r>
      <w:r>
        <w:t>ett</w:t>
      </w:r>
      <w:proofErr w:type="spellEnd"/>
      <w:r>
        <w:t xml:space="preserve"> </w:t>
      </w:r>
      <w:r w:rsidR="00E35BC1">
        <w:t>i</w:t>
      </w:r>
      <w:r>
        <w:t>nngå</w:t>
      </w:r>
      <w:r w:rsidR="00E35BC1">
        <w:t>r</w:t>
      </w:r>
      <w:r>
        <w:t xml:space="preserve"> avtaler med fastleger som vil delta i </w:t>
      </w:r>
      <w:r w:rsidR="00E35BC1">
        <w:t>kliniske studier</w:t>
      </w:r>
      <w:r w:rsidR="004B3890">
        <w:t xml:space="preserve"> </w:t>
      </w:r>
      <w:r w:rsidR="00E35BC1">
        <w:t xml:space="preserve">og </w:t>
      </w:r>
      <w:r>
        <w:t>sette</w:t>
      </w:r>
      <w:r w:rsidR="00E35BC1">
        <w:t>r</w:t>
      </w:r>
      <w:r>
        <w:t xml:space="preserve"> opp en IT-løsning for automatisert datafangst</w:t>
      </w:r>
      <w:r w:rsidR="00E35BC1">
        <w:t xml:space="preserve"> fra legekontorene</w:t>
      </w:r>
      <w:r>
        <w:t xml:space="preserve">. Universitetet/universitetene ønsker </w:t>
      </w:r>
      <w:r w:rsidR="00AB4EBA">
        <w:t xml:space="preserve">å få </w:t>
      </w:r>
      <w:r>
        <w:t xml:space="preserve">bistand </w:t>
      </w:r>
      <w:r w:rsidR="00AB4EBA">
        <w:t xml:space="preserve">til </w:t>
      </w:r>
      <w:r>
        <w:t>admin</w:t>
      </w:r>
      <w:r w:rsidR="007C1211">
        <w:t>istrativ</w:t>
      </w:r>
      <w:r>
        <w:t xml:space="preserve"> forskerstøtte</w:t>
      </w:r>
      <w:r w:rsidR="007C1211">
        <w:t xml:space="preserve"> fra</w:t>
      </w:r>
      <w:r>
        <w:t xml:space="preserve"> spesialisthelsetjenesten</w:t>
      </w:r>
      <w:r w:rsidR="00E35BC1">
        <w:t xml:space="preserve">, </w:t>
      </w:r>
      <w:r w:rsidR="00C1010B">
        <w:t xml:space="preserve">i første omgang </w:t>
      </w:r>
      <w:r w:rsidR="00E35BC1">
        <w:t xml:space="preserve">innenfor statistikk, datahåndtering og monitorering. </w:t>
      </w:r>
      <w:r w:rsidR="00AE0D51">
        <w:t>(</w:t>
      </w:r>
      <w:r w:rsidR="00935540">
        <w:t>Kilde</w:t>
      </w:r>
      <w:r w:rsidR="00AE0D51">
        <w:t xml:space="preserve">: </w:t>
      </w:r>
      <w:hyperlink r:id="rId25" w:anchor="hvordan-s-ke-" w:history="1">
        <w:proofErr w:type="spellStart"/>
        <w:r w:rsidR="00AE0D51">
          <w:rPr>
            <w:rStyle w:val="Hyperkobling"/>
          </w:rPr>
          <w:t>PraksisNett</w:t>
        </w:r>
        <w:proofErr w:type="spellEnd"/>
        <w:r w:rsidR="00AE0D51">
          <w:rPr>
            <w:rStyle w:val="Hyperkobling"/>
          </w:rPr>
          <w:t xml:space="preserve"> | Institutt for global helse og samfunnsmedisin | UiB</w:t>
        </w:r>
      </w:hyperlink>
      <w:r w:rsidR="00AE0D51">
        <w:t>, besøkt mars 2024)</w:t>
      </w:r>
    </w:p>
    <w:p w14:paraId="01F36C08" w14:textId="4E87A093" w:rsidR="00E35BC1" w:rsidRDefault="00E35BC1" w:rsidP="00B523B9">
      <w:r>
        <w:t>Forskning i primærhelsetjenesten er finansiert fra Kunnskapsdepartementet, mens forskning i spesialisthelsetjenesten får midler fra Helse og omsorgsdepartementet.</w:t>
      </w:r>
      <w:r w:rsidR="00F07B87">
        <w:t xml:space="preserve"> </w:t>
      </w:r>
    </w:p>
    <w:p w14:paraId="7284157E" w14:textId="5641EF16" w:rsidR="00EF1ED1" w:rsidRPr="00155851" w:rsidRDefault="00E35BC1" w:rsidP="00821450">
      <w:r>
        <w:t xml:space="preserve">For å se på hvilke formelle/avtalemessige forhold som må endres, og for å sikre et adekvat kvalitetssystem for studier der UiO er sponsor, </w:t>
      </w:r>
      <w:r w:rsidR="005C1BFF">
        <w:t>har det vært planlagt</w:t>
      </w:r>
      <w:r>
        <w:t xml:space="preserve"> et samarbeidsprosjekt mellom UiO v</w:t>
      </w:r>
      <w:r w:rsidR="00FB4E99">
        <w:t>ed</w:t>
      </w:r>
      <w:r>
        <w:t xml:space="preserve"> Institutt for helse og samfunn og OUS, ved Avd</w:t>
      </w:r>
      <w:r w:rsidR="0062694C">
        <w:t>.</w:t>
      </w:r>
      <w:r>
        <w:t xml:space="preserve"> forskningsstøtte for kliniske studier (CTU). </w:t>
      </w:r>
      <w:r w:rsidR="005C1BFF">
        <w:t>Dette samarbeidet har</w:t>
      </w:r>
      <w:r w:rsidR="0018120D">
        <w:t xml:space="preserve"> imidlertid</w:t>
      </w:r>
      <w:r w:rsidR="005C1BFF">
        <w:t xml:space="preserve"> ligget i dvale den siste tiden. </w:t>
      </w:r>
    </w:p>
    <w:p w14:paraId="049ADB53" w14:textId="233FAE03" w:rsidR="00C63B24" w:rsidRDefault="00C63B24" w:rsidP="00821450">
      <w:pPr>
        <w:pStyle w:val="Overskrift1"/>
      </w:pPr>
      <w:bookmarkStart w:id="23" w:name="_Toc192525155"/>
      <w:r>
        <w:t>Overordnet oppsummering fra kartleggingen</w:t>
      </w:r>
      <w:bookmarkEnd w:id="23"/>
    </w:p>
    <w:p w14:paraId="4715364D" w14:textId="0ED79ADE" w:rsidR="00C63B24" w:rsidRDefault="00C63B24" w:rsidP="00C63B24">
      <w:r>
        <w:t>Inntrykket etter kartlegging på web og besøkene i Sverige, Danmark, Sveits og Tyskland høsten 2023, er at infrastrukturen for forskningsstøtte har utviklet</w:t>
      </w:r>
      <w:r w:rsidR="006B6AAF">
        <w:t xml:space="preserve"> seg</w:t>
      </w:r>
      <w:r>
        <w:t xml:space="preserve"> </w:t>
      </w:r>
      <w:r w:rsidR="003245C8">
        <w:t xml:space="preserve">organisk, dvs. </w:t>
      </w:r>
      <w:r w:rsidR="006B6AAF">
        <w:t xml:space="preserve">ut fra lokale </w:t>
      </w:r>
      <w:r w:rsidR="00D1258D">
        <w:t xml:space="preserve">initiativ og muligheter, </w:t>
      </w:r>
      <w:r w:rsidR="006B6AAF">
        <w:t>og ikke nasjonale føringer.</w:t>
      </w:r>
      <w:r>
        <w:t xml:space="preserve"> Vi finner mange fellestrekk mellom landene, men en lavere grad av «standardisering» av tjenester og organisatorisk struktur, enn forventet.</w:t>
      </w:r>
      <w:r w:rsidR="005E3F83">
        <w:t xml:space="preserve"> Noen oppsummerende punkter: </w:t>
      </w:r>
    </w:p>
    <w:p w14:paraId="3B55CECD" w14:textId="3DD0378C" w:rsidR="00C63B24" w:rsidRDefault="00C63B24" w:rsidP="00B55B1D">
      <w:pPr>
        <w:pStyle w:val="Listeavsnitt"/>
        <w:numPr>
          <w:ilvl w:val="0"/>
          <w:numId w:val="64"/>
        </w:numPr>
      </w:pPr>
      <w:r>
        <w:t xml:space="preserve">I de fleste land ligger en regional inndeling til grunn for organiseringen av helsetjenesten, som også gir </w:t>
      </w:r>
      <w:r w:rsidR="000516A6">
        <w:t>utgangspunktet for organiseringen av nasjonal forskningsstøtte.</w:t>
      </w:r>
    </w:p>
    <w:p w14:paraId="67F97B86" w14:textId="77777777" w:rsidR="000516A6" w:rsidRDefault="000516A6" w:rsidP="00B55B1D">
      <w:pPr>
        <w:pStyle w:val="Listeavsnitt"/>
        <w:numPr>
          <w:ilvl w:val="0"/>
          <w:numId w:val="64"/>
        </w:numPr>
      </w:pPr>
      <w:r>
        <w:t>Vi finner at regionene ofte har minst ett universitetssykehus.</w:t>
      </w:r>
    </w:p>
    <w:p w14:paraId="77EFB9BE" w14:textId="5F5023CF" w:rsidR="000516A6" w:rsidRDefault="000516A6" w:rsidP="00B55B1D">
      <w:pPr>
        <w:pStyle w:val="Listeavsnitt"/>
        <w:numPr>
          <w:ilvl w:val="0"/>
          <w:numId w:val="64"/>
        </w:numPr>
      </w:pPr>
      <w:r>
        <w:t>Vi finner</w:t>
      </w:r>
      <w:r w:rsidR="003D1780">
        <w:t xml:space="preserve"> forskningsstøtte for kliniske</w:t>
      </w:r>
      <w:r>
        <w:t xml:space="preserve"> studier organisert dels under universitetene og dels under universitetssykehusene.</w:t>
      </w:r>
    </w:p>
    <w:p w14:paraId="69DB1586" w14:textId="77040A66" w:rsidR="0034734D" w:rsidRDefault="0034734D" w:rsidP="00B55B1D">
      <w:pPr>
        <w:pStyle w:val="Listeavsnitt"/>
        <w:numPr>
          <w:ilvl w:val="0"/>
          <w:numId w:val="64"/>
        </w:numPr>
      </w:pPr>
      <w:r>
        <w:t>De fleste enhetene i forskningsstøtte finansieres ved offentlige bidrag og brukerbetaling, og enkelte anførere at kurs og opplæring også gir viktige inntekter. Enkelte enheter driver også egne forskningsprosjekter, og har finansiering gjennom slike.</w:t>
      </w:r>
    </w:p>
    <w:p w14:paraId="48C11789" w14:textId="742EFD87" w:rsidR="003D1780" w:rsidRDefault="003D1780" w:rsidP="00B55B1D">
      <w:pPr>
        <w:pStyle w:val="Listeavsnitt"/>
        <w:numPr>
          <w:ilvl w:val="0"/>
          <w:numId w:val="64"/>
        </w:numPr>
      </w:pPr>
      <w:r>
        <w:t>Vi finner at forskningsstøtte i de fleste tilfeller støtter både akademiske studier og industristudier, og har kompetanse på legemiddelstudier, andre intervensjoner og studier med medisinsk utstyr.</w:t>
      </w:r>
    </w:p>
    <w:p w14:paraId="49C1285E" w14:textId="7F92993F" w:rsidR="003D1780" w:rsidRDefault="003D1780" w:rsidP="00B55B1D">
      <w:pPr>
        <w:pStyle w:val="Listeavsnitt"/>
        <w:numPr>
          <w:ilvl w:val="0"/>
          <w:numId w:val="64"/>
        </w:numPr>
      </w:pPr>
      <w:r>
        <w:t xml:space="preserve">Vi finner i flere land </w:t>
      </w:r>
      <w:r w:rsidR="00BE3E28">
        <w:t xml:space="preserve">(bla. Sverige og Danmark) </w:t>
      </w:r>
      <w:r>
        <w:t>at forskningsstøtte er tilgjengelig for forskere fra primær</w:t>
      </w:r>
      <w:r w:rsidR="006E6E0E">
        <w:t>helsetjenesten</w:t>
      </w:r>
      <w:r>
        <w:t xml:space="preserve"> så vel som øvrige nivåer i helsetjenesten</w:t>
      </w:r>
      <w:r w:rsidR="006E6E0E">
        <w:t xml:space="preserve"> (inkludert </w:t>
      </w:r>
      <w:r w:rsidR="006E6E0E">
        <w:lastRenderedPageBreak/>
        <w:t>spesialisthelsetjenesten)</w:t>
      </w:r>
      <w:r>
        <w:t>.</w:t>
      </w:r>
      <w:r w:rsidR="00884CB0">
        <w:t xml:space="preserve"> Sverige nevner at også tannlegene kan benytte seg av forskningsstøtte.</w:t>
      </w:r>
    </w:p>
    <w:p w14:paraId="744A4006" w14:textId="217591CB" w:rsidR="000516A6" w:rsidRDefault="000516A6" w:rsidP="00B55B1D">
      <w:pPr>
        <w:pStyle w:val="Listeavsnitt"/>
        <w:numPr>
          <w:ilvl w:val="0"/>
          <w:numId w:val="64"/>
        </w:numPr>
      </w:pPr>
      <w:r>
        <w:t>Vi finner i flere land</w:t>
      </w:r>
      <w:r w:rsidR="00BE3E28">
        <w:t xml:space="preserve"> (bla. Sverige, Sveits, UK og Tyskland)</w:t>
      </w:r>
      <w:r>
        <w:t xml:space="preserve"> nasjonale nettverksstrukturer etablert for å samkjøre/utvikle felles metodeverk på tvers av sterke lokale/regionale miljøer.</w:t>
      </w:r>
    </w:p>
    <w:p w14:paraId="1A0382B7" w14:textId="01C0181B" w:rsidR="00593E39" w:rsidRDefault="00593E39" w:rsidP="00B55B1D">
      <w:pPr>
        <w:pStyle w:val="Listeavsnitt"/>
        <w:numPr>
          <w:ilvl w:val="0"/>
          <w:numId w:val="64"/>
        </w:numPr>
      </w:pPr>
      <w:r>
        <w:t xml:space="preserve">I noen land </w:t>
      </w:r>
      <w:r w:rsidR="00BE3E28">
        <w:t xml:space="preserve">(bla. Norge, Sverige, Danmark) </w:t>
      </w:r>
      <w:r>
        <w:t>er forskning lovpålagt også for ikke-universitetssykehus, men ikke alle. Slik lovgivning styrer i hvilken grad forskningsstøtte v universitetssykehusene/regionalt, har som oppgave å støtte forskningsstøtte ved ikke-universitetssykehus/lokalt.</w:t>
      </w:r>
    </w:p>
    <w:p w14:paraId="1CDA0097" w14:textId="0EEF4008" w:rsidR="003D1780" w:rsidRDefault="00593E39" w:rsidP="00B55B1D">
      <w:pPr>
        <w:pStyle w:val="Listeavsnitt"/>
        <w:numPr>
          <w:ilvl w:val="0"/>
          <w:numId w:val="64"/>
        </w:numPr>
      </w:pPr>
      <w:r>
        <w:t xml:space="preserve">Vi finner i flere land </w:t>
      </w:r>
      <w:r w:rsidR="00BE3E28">
        <w:t xml:space="preserve">(bla. Sverige og Sveits) </w:t>
      </w:r>
      <w:r>
        <w:t>at administrativ forskningsstøtte og forskningsposter er organisert i samme enhet.</w:t>
      </w:r>
      <w:r w:rsidR="00A71723">
        <w:t xml:space="preserve"> FoU-enheter/forskningsstøtte-enheter ute i klinikkene presenteres ikke som en like «integrert del» av forskningsstøtte.</w:t>
      </w:r>
      <w:r>
        <w:t xml:space="preserve"> </w:t>
      </w:r>
    </w:p>
    <w:p w14:paraId="0273419E" w14:textId="6E8ADB02" w:rsidR="00593E39" w:rsidRDefault="00593E39" w:rsidP="00B55B1D">
      <w:pPr>
        <w:pStyle w:val="Listeavsnitt"/>
        <w:numPr>
          <w:ilvl w:val="0"/>
          <w:numId w:val="64"/>
        </w:numPr>
      </w:pPr>
      <w:r>
        <w:t xml:space="preserve">Danmark skiller seg ut ved sine GCP-enheter, som </w:t>
      </w:r>
      <w:r w:rsidR="006E6E0E">
        <w:t xml:space="preserve">hittil har vært organisert som selvstendige enheter som </w:t>
      </w:r>
      <w:r>
        <w:t>hovedsakelig</w:t>
      </w:r>
      <w:r w:rsidR="006E6E0E">
        <w:t xml:space="preserve"> tilbyr</w:t>
      </w:r>
      <w:r>
        <w:t xml:space="preserve"> monitorering</w:t>
      </w:r>
      <w:r w:rsidR="00606A8E">
        <w:t>, regulatorisk støtte (bla. søknadshjelp)</w:t>
      </w:r>
      <w:r>
        <w:t xml:space="preserve"> og </w:t>
      </w:r>
      <w:r w:rsidR="003D1780">
        <w:t>GCP-rådgivning.</w:t>
      </w:r>
    </w:p>
    <w:p w14:paraId="4F4365AD" w14:textId="0C271053" w:rsidR="006E6E0E" w:rsidRDefault="006E6E0E" w:rsidP="00B55B1D">
      <w:pPr>
        <w:pStyle w:val="Listeavsnitt"/>
        <w:numPr>
          <w:ilvl w:val="0"/>
          <w:numId w:val="64"/>
        </w:numPr>
      </w:pPr>
      <w:r>
        <w:t xml:space="preserve">Vi finner infrastruktur for forskningsstøtte i stab (administrativ forskningsstøtte og forskningsposter) og ute i medisinske klinikker (type FoU-enheter, Kliniske Forskningsenheter). </w:t>
      </w:r>
    </w:p>
    <w:p w14:paraId="31D867CC" w14:textId="1A501906" w:rsidR="006E6E0E" w:rsidRDefault="006E6E0E" w:rsidP="00B55B1D">
      <w:pPr>
        <w:pStyle w:val="Listeavsnitt"/>
        <w:numPr>
          <w:ilvl w:val="0"/>
          <w:numId w:val="64"/>
        </w:numPr>
      </w:pPr>
      <w:r>
        <w:t xml:space="preserve">Vi finner at de fleste enheter er involvert i kurs om regelverk og kliniske studier. De fleste kurs er for forskere og studiepersonell, men vi finner i Sveits og Tyskland at forskningsstøtte også gir </w:t>
      </w:r>
      <w:proofErr w:type="spellStart"/>
      <w:r>
        <w:t>meriterende</w:t>
      </w:r>
      <w:proofErr w:type="spellEnd"/>
      <w:r>
        <w:t xml:space="preserve"> kurs i universitetsutdanning og videreutdanning for helsepersonell. I Sverige har man i visse regioner utviklet et obligatorisk kurs for klinikk- og virksomhetsledere, med formelt ansvar for forskning. </w:t>
      </w:r>
    </w:p>
    <w:p w14:paraId="751C5F00" w14:textId="11A48514" w:rsidR="00884CB0" w:rsidRDefault="00884CB0" w:rsidP="00B55B1D">
      <w:pPr>
        <w:pStyle w:val="Listeavsnitt"/>
        <w:numPr>
          <w:ilvl w:val="0"/>
          <w:numId w:val="64"/>
        </w:numPr>
      </w:pPr>
      <w:r>
        <w:t>Vi finner ikke at det er vanlig med krav til akkreditering av enheter, eller nasjonale krav til kvalifisering/godkjenning av ulike faggrupper/roller knyttet til kliniske studier.</w:t>
      </w:r>
    </w:p>
    <w:p w14:paraId="55B4A35B" w14:textId="5A251787" w:rsidR="00884CB0" w:rsidRDefault="00884CB0" w:rsidP="00B55B1D">
      <w:pPr>
        <w:pStyle w:val="Listeavsnitt"/>
        <w:numPr>
          <w:ilvl w:val="0"/>
          <w:numId w:val="64"/>
        </w:numPr>
      </w:pPr>
      <w:r>
        <w:t>B</w:t>
      </w:r>
      <w:r w:rsidR="004651B3">
        <w:t>ibliotekst</w:t>
      </w:r>
      <w:r>
        <w:t>jen</w:t>
      </w:r>
      <w:r w:rsidR="00FD3BD2">
        <w:t>e</w:t>
      </w:r>
      <w:r>
        <w:t xml:space="preserve">sten </w:t>
      </w:r>
      <w:r w:rsidR="00FD3BD2">
        <w:t xml:space="preserve">er </w:t>
      </w:r>
      <w:proofErr w:type="gramStart"/>
      <w:r w:rsidR="00FD3BD2">
        <w:t>inte</w:t>
      </w:r>
      <w:r w:rsidR="004651B3">
        <w:t>grert</w:t>
      </w:r>
      <w:proofErr w:type="gramEnd"/>
      <w:r w:rsidR="004651B3">
        <w:t xml:space="preserve"> i forskningsstøtte i enkelte land, andre ikke.</w:t>
      </w:r>
    </w:p>
    <w:p w14:paraId="0A8483C2" w14:textId="3C1FB947" w:rsidR="00884CB0" w:rsidRDefault="00884CB0" w:rsidP="00B55B1D">
      <w:pPr>
        <w:pStyle w:val="Listeavsnitt"/>
        <w:numPr>
          <w:ilvl w:val="0"/>
          <w:numId w:val="64"/>
        </w:numPr>
      </w:pPr>
      <w:r>
        <w:t xml:space="preserve">Biobank </w:t>
      </w:r>
      <w:r w:rsidR="004D0D67">
        <w:t xml:space="preserve">er i enkelte land nokså godt integrert i forskningsstøtte, men fortsatt er hovedbildet at biobankmiljøene utvikler seg </w:t>
      </w:r>
      <w:r w:rsidR="00F07B87">
        <w:t>parallelt</w:t>
      </w:r>
      <w:r w:rsidR="004D0D67">
        <w:t xml:space="preserve"> med forskningsstøtten</w:t>
      </w:r>
      <w:r w:rsidR="00CC00F0">
        <w:t xml:space="preserve"> og er</w:t>
      </w:r>
      <w:r w:rsidR="004D0D67">
        <w:t xml:space="preserve"> tilgjengelig for kliniske studier. </w:t>
      </w:r>
    </w:p>
    <w:p w14:paraId="5D037CDC" w14:textId="24C19001" w:rsidR="00C63B24" w:rsidRPr="00C63B24" w:rsidRDefault="00967DAA" w:rsidP="005E3F83">
      <w:r>
        <w:t>For oppsummering av ob</w:t>
      </w:r>
      <w:r w:rsidR="00D30F64">
        <w:t>s</w:t>
      </w:r>
      <w:r>
        <w:t>ervasjoner og informasjon fra ulike land, vises det til eget vedlegg.</w:t>
      </w:r>
      <w:r w:rsidR="004D0D67">
        <w:t xml:space="preserve"> Vi har kartlagt infrastrukturen for forskningsstøtte i ulike land med utgangspunkt i samme liste over spørsmål/viktige temaer.</w:t>
      </w:r>
    </w:p>
    <w:p w14:paraId="50397185" w14:textId="3A770F83" w:rsidR="00D268E5" w:rsidRDefault="00155851" w:rsidP="00821450">
      <w:pPr>
        <w:pStyle w:val="Overskrift1"/>
      </w:pPr>
      <w:bookmarkStart w:id="24" w:name="_Toc192525156"/>
      <w:r>
        <w:t>Anbefalinger</w:t>
      </w:r>
      <w:bookmarkEnd w:id="24"/>
    </w:p>
    <w:p w14:paraId="5866C392" w14:textId="23BC8777" w:rsidR="004D0D67" w:rsidRDefault="002F0F2D" w:rsidP="00821450">
      <w:r>
        <w:t>Mandatet til AP11 er</w:t>
      </w:r>
      <w:r w:rsidR="004D0D67">
        <w:t xml:space="preserve"> </w:t>
      </w:r>
      <w:r>
        <w:t xml:space="preserve">å </w:t>
      </w:r>
      <w:r w:rsidR="004D0D67">
        <w:t>kartlegge forskningsstøtte i Norge og i relevante land i Norden og Europa</w:t>
      </w:r>
      <w:r w:rsidR="00D1258D">
        <w:t>,</w:t>
      </w:r>
      <w:r w:rsidR="00827836">
        <w:t xml:space="preserve"> og </w:t>
      </w:r>
      <w:r w:rsidR="004D0D67">
        <w:t xml:space="preserve">komme med anbefalinger/standarder/kompetansekrav til ulike tjenester, roller og enheter som inngår i «infrastrukturen for forskningsstøtte». Anbefalingene </w:t>
      </w:r>
      <w:r w:rsidR="00827836">
        <w:t>er ment å kunne gi et</w:t>
      </w:r>
      <w:r w:rsidR="004D0D67">
        <w:t xml:space="preserve"> løft til enheter på ulike nivåer, dvs. være nyttige</w:t>
      </w:r>
      <w:r w:rsidR="00824B43">
        <w:t xml:space="preserve"> og til inspirasjon</w:t>
      </w:r>
      <w:r w:rsidR="004D0D67">
        <w:t xml:space="preserve"> </w:t>
      </w:r>
      <w:r w:rsidR="00824B43">
        <w:t xml:space="preserve">i oppbygging og videre utvikling </w:t>
      </w:r>
      <w:r w:rsidR="004D0D67">
        <w:t>for forskningsstøtte-enheter (dvs. for forskningsstøtte både ved universitets- og ikke-universitets-sykehus).</w:t>
      </w:r>
      <w:r w:rsidR="00C855AB">
        <w:t xml:space="preserve"> Hovedfokus er </w:t>
      </w:r>
      <w:r w:rsidR="00666434">
        <w:t xml:space="preserve">anbefalinger </w:t>
      </w:r>
      <w:r w:rsidR="005D6043">
        <w:t xml:space="preserve">til infrastruktur for </w:t>
      </w:r>
      <w:r w:rsidR="00D1258D">
        <w:t>forskerinitierte/</w:t>
      </w:r>
      <w:r w:rsidR="00C855AB">
        <w:t>akademiske studier.</w:t>
      </w:r>
    </w:p>
    <w:p w14:paraId="7C245D91" w14:textId="194E6A96" w:rsidR="004D0D67" w:rsidRDefault="004D0D67" w:rsidP="00821450"/>
    <w:p w14:paraId="10C2D1CE" w14:textId="26CA1084" w:rsidR="004D0D67" w:rsidRDefault="004D0D67" w:rsidP="00821450">
      <w:r>
        <w:t xml:space="preserve">Aktørene i infrastrukturen for forskningsstøtte, slik AP11 har jobbet, </w:t>
      </w:r>
      <w:proofErr w:type="gramStart"/>
      <w:r>
        <w:t>fremgår</w:t>
      </w:r>
      <w:proofErr w:type="gramEnd"/>
      <w:r>
        <w:t xml:space="preserve"> av figuren nedenfor. I sentrum står forskeren og studiegruppen, som kan søke støtte til studien </w:t>
      </w:r>
      <w:r w:rsidR="00CC00F0">
        <w:t>fra</w:t>
      </w:r>
      <w:r>
        <w:t xml:space="preserve"> ulike hold. Overordnet </w:t>
      </w:r>
      <w:r>
        <w:lastRenderedPageBreak/>
        <w:t>er utfordringen å optimalisere denne støtten, slik at vi får et hø</w:t>
      </w:r>
      <w:r w:rsidR="000C0444">
        <w:t>yest mulig</w:t>
      </w:r>
      <w:r>
        <w:t xml:space="preserve"> antall studier av god kvalitet med de ressursene som er tilgjengelig</w:t>
      </w:r>
      <w:r w:rsidR="007D357F">
        <w:t xml:space="preserve"> «rundt forskeren»</w:t>
      </w:r>
      <w:r>
        <w:t xml:space="preserve">. Lokalt kan det være FoU-støtte i egen klinikk, man kan finne forskningsstøtte i stab ved eget sykehus/HF, og man vil </w:t>
      </w:r>
      <w:r w:rsidR="005D6043">
        <w:t xml:space="preserve">i tillegg </w:t>
      </w:r>
      <w:r>
        <w:t>ha regional forskningsstøtte. Man kan for visse studier også hente støtte fra institusjonens forskningspost</w:t>
      </w:r>
      <w:r w:rsidR="00F07B87">
        <w:t>(</w:t>
      </w:r>
      <w:r>
        <w:t>er</w:t>
      </w:r>
      <w:r w:rsidR="00F07B87">
        <w:t>)</w:t>
      </w:r>
      <w:r>
        <w:t>. Avhengig av studiens design, endepunkter, størrelse osv</w:t>
      </w:r>
      <w:r w:rsidR="007D357F">
        <w:t>.</w:t>
      </w:r>
      <w:r>
        <w:t xml:space="preserve">, </w:t>
      </w:r>
      <w:r w:rsidR="005D6043">
        <w:t xml:space="preserve">er </w:t>
      </w:r>
      <w:r>
        <w:t xml:space="preserve">man </w:t>
      </w:r>
      <w:r w:rsidR="005D6043">
        <w:t xml:space="preserve">uansett </w:t>
      </w:r>
      <w:r>
        <w:t xml:space="preserve">avhengig av </w:t>
      </w:r>
      <w:r w:rsidR="005D6043">
        <w:t>flere ulike</w:t>
      </w:r>
      <w:r>
        <w:t xml:space="preserve"> aktører for å få gjennomført </w:t>
      </w:r>
      <w:r w:rsidR="005B026A">
        <w:t>et for</w:t>
      </w:r>
      <w:r w:rsidR="00445735">
        <w:t>sk</w:t>
      </w:r>
      <w:r w:rsidR="005B026A">
        <w:t>nings</w:t>
      </w:r>
      <w:r>
        <w:t>prosjekt. Aktørbildet endrer seg ettersom studiene endrer seg, eksempelvis blir IT-kompetanse stadig viktigere.</w:t>
      </w:r>
      <w:r w:rsidR="00C8091E">
        <w:br/>
      </w:r>
    </w:p>
    <w:p w14:paraId="5CB2AB94" w14:textId="3FB652A3" w:rsidR="00092295" w:rsidRDefault="00AE0D51" w:rsidP="00821450">
      <w:r>
        <w:t>Det pågår en løpende debatt om faktorer som påvirker antall kliniske studier ved norsk</w:t>
      </w:r>
      <w:r w:rsidR="00827B29">
        <w:t xml:space="preserve">e sykehus. </w:t>
      </w:r>
      <w:r w:rsidR="00827B29" w:rsidRPr="002A16BF">
        <w:t>Nå i 2024 er</w:t>
      </w:r>
      <w:r w:rsidRPr="002A16BF">
        <w:t xml:space="preserve"> det</w:t>
      </w:r>
      <w:r w:rsidR="00827B29" w:rsidRPr="002A16BF">
        <w:t xml:space="preserve"> </w:t>
      </w:r>
      <w:r w:rsidRPr="002A16BF">
        <w:t xml:space="preserve">enighet om at klinikeres tid blir en stadig knappere ressurs. </w:t>
      </w:r>
      <w:r w:rsidR="005B026A">
        <w:t xml:space="preserve">Bistand og </w:t>
      </w:r>
      <w:r w:rsidR="00E4771A">
        <w:t>kompetent</w:t>
      </w:r>
      <w:r w:rsidR="00093539">
        <w:t xml:space="preserve"> oppfølging</w:t>
      </w:r>
      <w:r w:rsidR="005B026A" w:rsidRPr="00B55B1D">
        <w:t xml:space="preserve"> </w:t>
      </w:r>
      <w:r w:rsidR="00827B29" w:rsidRPr="002A16BF">
        <w:t>fra forskningsstøtte</w:t>
      </w:r>
      <w:r w:rsidR="00D1258D">
        <w:t xml:space="preserve">, </w:t>
      </w:r>
      <w:r w:rsidRPr="002A16BF">
        <w:t xml:space="preserve">som kan spare tid </w:t>
      </w:r>
      <w:r w:rsidR="00827B29" w:rsidRPr="002A16BF">
        <w:t>og redusere</w:t>
      </w:r>
      <w:r w:rsidR="00D1258D">
        <w:t xml:space="preserve"> </w:t>
      </w:r>
      <w:r w:rsidR="00E4771A">
        <w:t>administrasjon</w:t>
      </w:r>
      <w:r w:rsidR="00827B29" w:rsidRPr="002A16BF">
        <w:t xml:space="preserve"> </w:t>
      </w:r>
      <w:r w:rsidRPr="002A16BF">
        <w:t xml:space="preserve">for </w:t>
      </w:r>
      <w:r w:rsidR="00E4771A">
        <w:t xml:space="preserve">den enkelte </w:t>
      </w:r>
      <w:r w:rsidRPr="002A16BF">
        <w:t xml:space="preserve">forsker, blir dermed </w:t>
      </w:r>
      <w:r w:rsidR="00EE626C">
        <w:t xml:space="preserve">svært </w:t>
      </w:r>
      <w:r w:rsidRPr="002A16BF">
        <w:t>viktig</w:t>
      </w:r>
      <w:r w:rsidR="00EE626C">
        <w:t xml:space="preserve"> og kanskje en avgjørende faktor som vil gjøre at flere forskere</w:t>
      </w:r>
      <w:r w:rsidR="00C9507A">
        <w:t xml:space="preserve"> ønsker å gjøre</w:t>
      </w:r>
      <w:r w:rsidR="00275088">
        <w:t xml:space="preserve"> en</w:t>
      </w:r>
      <w:r w:rsidR="00C9507A">
        <w:t xml:space="preserve"> klinisk studie.</w:t>
      </w:r>
    </w:p>
    <w:p w14:paraId="0EBB4C6A" w14:textId="4227EDCF" w:rsidR="004D0D67" w:rsidRDefault="00AC4723" w:rsidP="00821450">
      <w:r w:rsidRPr="00AC4723">
        <w:rPr>
          <w:noProof/>
          <w:lang w:bidi="ar-SA"/>
        </w:rPr>
        <w:drawing>
          <wp:inline distT="0" distB="0" distL="0" distR="0" wp14:anchorId="4638DCE4" wp14:editId="2069AD14">
            <wp:extent cx="5867400" cy="2887781"/>
            <wp:effectExtent l="0" t="0" r="0" b="8255"/>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893984" cy="2900865"/>
                    </a:xfrm>
                    <a:prstGeom prst="rect">
                      <a:avLst/>
                    </a:prstGeom>
                  </pic:spPr>
                </pic:pic>
              </a:graphicData>
            </a:graphic>
          </wp:inline>
        </w:drawing>
      </w:r>
    </w:p>
    <w:p w14:paraId="4E4CE749" w14:textId="61BC27FD" w:rsidR="007D357F" w:rsidRDefault="003F4A6A" w:rsidP="007D357F">
      <w:pPr>
        <w:rPr>
          <w:b/>
          <w:sz w:val="20"/>
        </w:rPr>
      </w:pPr>
      <w:r>
        <w:rPr>
          <w:b/>
          <w:sz w:val="20"/>
        </w:rPr>
        <w:t>Fig 2</w:t>
      </w:r>
      <w:r w:rsidR="007D357F">
        <w:rPr>
          <w:b/>
          <w:sz w:val="20"/>
        </w:rPr>
        <w:t>: Infrastrukturen for forskningsstøtte, som samlet skal gi nødvendig støtte til forskeren/studiegruppen</w:t>
      </w:r>
    </w:p>
    <w:p w14:paraId="6DFDB24E" w14:textId="77777777" w:rsidR="007D357F" w:rsidRDefault="007D357F" w:rsidP="007D357F">
      <w:pPr>
        <w:rPr>
          <w:b/>
          <w:sz w:val="20"/>
        </w:rPr>
      </w:pPr>
    </w:p>
    <w:p w14:paraId="6287243B" w14:textId="2100F022" w:rsidR="007D357F" w:rsidRDefault="007D357F" w:rsidP="00821450">
      <w:r>
        <w:t xml:space="preserve">Anbefalingene </w:t>
      </w:r>
      <w:r w:rsidR="00827B29">
        <w:t>i denne rapporten</w:t>
      </w:r>
      <w:r w:rsidR="00275088">
        <w:t xml:space="preserve"> beskriver</w:t>
      </w:r>
      <w:r>
        <w:t xml:space="preserve"> mest på </w:t>
      </w:r>
      <w:r w:rsidR="00275088">
        <w:t xml:space="preserve">selve </w:t>
      </w:r>
      <w:r>
        <w:t>tjenester, men</w:t>
      </w:r>
      <w:r w:rsidR="00275088">
        <w:t xml:space="preserve"> sier</w:t>
      </w:r>
      <w:r>
        <w:t xml:space="preserve"> også noe </w:t>
      </w:r>
      <w:r w:rsidR="00275088">
        <w:t xml:space="preserve">om </w:t>
      </w:r>
      <w:r>
        <w:t>organisering</w:t>
      </w:r>
      <w:r w:rsidR="00275088">
        <w:t xml:space="preserve"> av tjenestene</w:t>
      </w:r>
      <w:r>
        <w:t>. Kartleggingen i utlandet viste mindre grad av standardisering (type enhet, typer tjenester, krav til kvalifisering osv</w:t>
      </w:r>
      <w:r w:rsidR="00827B29">
        <w:t>.</w:t>
      </w:r>
      <w:r>
        <w:t>) enn hva vi antok</w:t>
      </w:r>
      <w:r w:rsidR="00827B29">
        <w:t>/forventet å finne</w:t>
      </w:r>
      <w:r>
        <w:t xml:space="preserve"> i starten av arbeidet</w:t>
      </w:r>
      <w:r w:rsidR="00624D2E">
        <w:t xml:space="preserve">.  </w:t>
      </w:r>
      <w:r w:rsidR="006102C6">
        <w:t>Vi har</w:t>
      </w:r>
      <w:r w:rsidR="00624D2E">
        <w:t xml:space="preserve"> derfor ikke noen klare standarder å vise til som grunnlag for våre anbefalinger.</w:t>
      </w:r>
    </w:p>
    <w:p w14:paraId="068BBBBA" w14:textId="77777777" w:rsidR="0056311E" w:rsidRDefault="0056311E" w:rsidP="00821450"/>
    <w:p w14:paraId="44AF9DD3" w14:textId="416602F5" w:rsidR="004412AA" w:rsidRPr="004412AA" w:rsidRDefault="004412AA" w:rsidP="00821450">
      <w:pPr>
        <w:pStyle w:val="Overskrift2"/>
      </w:pPr>
      <w:bookmarkStart w:id="25" w:name="_Toc192525157"/>
      <w:r>
        <w:t>Tjenester</w:t>
      </w:r>
      <w:r w:rsidR="00F95D03">
        <w:t xml:space="preserve"> til støtte for kliniske studier</w:t>
      </w:r>
      <w:bookmarkEnd w:id="25"/>
    </w:p>
    <w:p w14:paraId="6B695B9F" w14:textId="62B3D26C" w:rsidR="00C8091E" w:rsidRDefault="00C322D2" w:rsidP="003C7351">
      <w:r>
        <w:t>Her</w:t>
      </w:r>
      <w:r w:rsidR="00D320F6">
        <w:t xml:space="preserve"> presentere</w:t>
      </w:r>
      <w:r>
        <w:t xml:space="preserve">r vi tjenester som anses å være viktig </w:t>
      </w:r>
      <w:r w:rsidR="00D320F6">
        <w:t>for kliniske studier pr</w:t>
      </w:r>
      <w:r w:rsidR="00827B29">
        <w:t>.</w:t>
      </w:r>
      <w:r w:rsidR="00D320F6">
        <w:t xml:space="preserve"> i dag og fremover. Noen anbef</w:t>
      </w:r>
      <w:r>
        <w:t>alinger vil gå på tiltak som bør</w:t>
      </w:r>
      <w:r w:rsidR="00D320F6">
        <w:t xml:space="preserve"> iverksettes umiddelbart, andre ligger lengre frem i tid.</w:t>
      </w:r>
      <w:r w:rsidR="0048174E">
        <w:t xml:space="preserve"> Vi har organisert forslagene etter tema, og dekker ulike enheter i «infrastrukturen for forskningsstøtte».</w:t>
      </w:r>
      <w:r w:rsidR="00E42422">
        <w:br/>
      </w:r>
    </w:p>
    <w:p w14:paraId="4499CB12" w14:textId="2667CFC7" w:rsidR="00F95D03" w:rsidRDefault="00F95D03" w:rsidP="003C7351">
      <w:r>
        <w:lastRenderedPageBreak/>
        <w:t>AP11 vil understreke tverrfagligheten som kreves for finansiering, planlegging, gjennomføring og rapportering av en klinisk studie</w:t>
      </w:r>
      <w:r w:rsidR="00092FD6">
        <w:t xml:space="preserve">. Det er dermed </w:t>
      </w:r>
      <w:r>
        <w:t>en stor styrke</w:t>
      </w:r>
      <w:r w:rsidR="00530ABA">
        <w:t xml:space="preserve"> (men ingen forutsetning)</w:t>
      </w:r>
      <w:r>
        <w:t xml:space="preserve"> </w:t>
      </w:r>
      <w:r w:rsidR="00530ABA">
        <w:t xml:space="preserve">dersom </w:t>
      </w:r>
      <w:r>
        <w:t>forskningsstøtte</w:t>
      </w:r>
      <w:r w:rsidR="00E226AD">
        <w:t>n selv</w:t>
      </w:r>
      <w:r>
        <w:t xml:space="preserve"> har god faglig bredde, og kan tilby hjelp gjennom hele prosessen fra utforming av søknader til ulike </w:t>
      </w:r>
      <w:proofErr w:type="spellStart"/>
      <w:r>
        <w:t>finansiører</w:t>
      </w:r>
      <w:proofErr w:type="spellEnd"/>
      <w:r>
        <w:t xml:space="preserve">, veiledning på regulatorisk krav, innspill på design, </w:t>
      </w:r>
      <w:r w:rsidR="00E42422">
        <w:t>lokal gjennomføring ute på senteret, analyse og rapportering av studien. Fremover vil også</w:t>
      </w:r>
      <w:r>
        <w:t xml:space="preserve"> bruk at registre og innhenting av data fra ulike kilder</w:t>
      </w:r>
      <w:r w:rsidR="00E42422">
        <w:t xml:space="preserve"> bli viktig. Juridisk kompetanse er</w:t>
      </w:r>
      <w:r>
        <w:t xml:space="preserve"> nødvendig, likeså kompetanse om biobank.</w:t>
      </w:r>
    </w:p>
    <w:p w14:paraId="4BE9A778" w14:textId="623FFC2F" w:rsidR="00E42422" w:rsidRDefault="00E42422" w:rsidP="003C7351">
      <w:pPr>
        <w:contextualSpacing/>
      </w:pPr>
    </w:p>
    <w:p w14:paraId="1B7AC7FB" w14:textId="3488EB08" w:rsidR="0088754A" w:rsidRDefault="00E42422" w:rsidP="003C7351">
      <w:pPr>
        <w:contextualSpacing/>
        <w:rPr>
          <w:rFonts w:cs="Arial"/>
        </w:rPr>
      </w:pPr>
      <w:r>
        <w:rPr>
          <w:rFonts w:cs="Arial"/>
        </w:rPr>
        <w:t>I tabellen nedenfor har vi listet tjenester/fagområder som er viktige for gjennomføring av en intervensjonsstudie. V</w:t>
      </w:r>
      <w:r w:rsidR="0088754A">
        <w:rPr>
          <w:rFonts w:cs="Arial"/>
        </w:rPr>
        <w:t xml:space="preserve">i </w:t>
      </w:r>
      <w:r w:rsidR="005D5F0B">
        <w:rPr>
          <w:rFonts w:cs="Arial"/>
        </w:rPr>
        <w:t>foreslår en</w:t>
      </w:r>
      <w:r w:rsidR="0088754A">
        <w:rPr>
          <w:rFonts w:cs="Arial"/>
        </w:rPr>
        <w:t xml:space="preserve"> stige </w:t>
      </w:r>
      <w:r w:rsidR="005D5F0B">
        <w:rPr>
          <w:rFonts w:cs="Arial"/>
        </w:rPr>
        <w:t>med</w:t>
      </w:r>
      <w:r w:rsidR="0088754A">
        <w:rPr>
          <w:rFonts w:cs="Arial"/>
        </w:rPr>
        <w:t xml:space="preserve"> 4 trinn, som angir ulike «nivåer» eller kompleksitet for en studie, og skisserer hvilke </w:t>
      </w:r>
      <w:r w:rsidR="00E33986">
        <w:rPr>
          <w:rFonts w:cs="Arial"/>
        </w:rPr>
        <w:t xml:space="preserve">tjenester </w:t>
      </w:r>
      <w:r w:rsidR="006125A5">
        <w:rPr>
          <w:rFonts w:cs="Arial"/>
        </w:rPr>
        <w:t>eller</w:t>
      </w:r>
      <w:r w:rsidR="00E33986">
        <w:rPr>
          <w:rFonts w:cs="Arial"/>
        </w:rPr>
        <w:t xml:space="preserve"> kompetanse</w:t>
      </w:r>
      <w:r w:rsidR="0088754A">
        <w:rPr>
          <w:rFonts w:cs="Arial"/>
        </w:rPr>
        <w:t xml:space="preserve"> som må være tilgjengelig </w:t>
      </w:r>
      <w:r w:rsidR="00E33986">
        <w:rPr>
          <w:rFonts w:cs="Arial"/>
        </w:rPr>
        <w:t xml:space="preserve">for en studie. Nødvendige tjenester og kompetanse kan komme </w:t>
      </w:r>
      <w:r w:rsidR="0088754A">
        <w:rPr>
          <w:rFonts w:cs="Arial"/>
        </w:rPr>
        <w:t xml:space="preserve">fra </w:t>
      </w:r>
      <w:r w:rsidR="0046341A">
        <w:rPr>
          <w:rFonts w:cs="Arial"/>
        </w:rPr>
        <w:t xml:space="preserve">forsker selv, studiegruppen, eller fra </w:t>
      </w:r>
      <w:r w:rsidR="0088754A">
        <w:rPr>
          <w:rFonts w:cs="Arial"/>
        </w:rPr>
        <w:t>forskningsstøtte</w:t>
      </w:r>
      <w:r w:rsidR="0046341A">
        <w:rPr>
          <w:rFonts w:cs="Arial"/>
        </w:rPr>
        <w:t xml:space="preserve">. </w:t>
      </w:r>
      <w:r w:rsidR="0088754A">
        <w:rPr>
          <w:rFonts w:cs="Arial"/>
        </w:rPr>
        <w:t xml:space="preserve"> </w:t>
      </w:r>
      <w:r w:rsidR="006125A5">
        <w:rPr>
          <w:rFonts w:cs="Arial"/>
        </w:rPr>
        <w:t xml:space="preserve">AP11 mener de foreslåtte tjenester og kompetanser som hovedregel bør utvikles/være </w:t>
      </w:r>
      <w:r w:rsidR="00D1258D">
        <w:rPr>
          <w:rFonts w:cs="Arial"/>
        </w:rPr>
        <w:t>til stede</w:t>
      </w:r>
      <w:r w:rsidR="006125A5">
        <w:rPr>
          <w:rFonts w:cs="Arial"/>
        </w:rPr>
        <w:t xml:space="preserve"> i forskningsstøtte, og at man da ser på den samlede kompetanse i forskningsstøtte på lokalt, regionalt og nasjonalt nivå.</w:t>
      </w:r>
      <w:r w:rsidR="0088754A">
        <w:rPr>
          <w:rFonts w:cs="Arial"/>
        </w:rPr>
        <w:t xml:space="preserve"> </w:t>
      </w:r>
    </w:p>
    <w:p w14:paraId="359FF508" w14:textId="635246D4" w:rsidR="0088754A" w:rsidRDefault="0088754A" w:rsidP="003C7351">
      <w:pPr>
        <w:contextualSpacing/>
        <w:rPr>
          <w:rFonts w:cs="Arial"/>
        </w:rPr>
      </w:pPr>
    </w:p>
    <w:p w14:paraId="0ACF19A7" w14:textId="34C4AE21" w:rsidR="0088754A" w:rsidRPr="0062694C" w:rsidRDefault="0088754A" w:rsidP="0062694C">
      <w:pPr>
        <w:contextualSpacing/>
        <w:rPr>
          <w:rFonts w:cs="Arial"/>
        </w:rPr>
      </w:pPr>
      <w:r>
        <w:rPr>
          <w:rFonts w:cs="Arial"/>
        </w:rPr>
        <w:t>N</w:t>
      </w:r>
      <w:r w:rsidR="002E1E27">
        <w:rPr>
          <w:rFonts w:cs="Arial"/>
        </w:rPr>
        <w:t>ivåene er beskrevet i tabellen under</w:t>
      </w:r>
      <w:r>
        <w:rPr>
          <w:rFonts w:cs="Arial"/>
        </w:rPr>
        <w:t>:</w:t>
      </w:r>
    </w:p>
    <w:tbl>
      <w:tblPr>
        <w:tblStyle w:val="Tabellrutenett"/>
        <w:tblW w:w="0" w:type="auto"/>
        <w:tblLook w:val="04A0" w:firstRow="1" w:lastRow="0" w:firstColumn="1" w:lastColumn="0" w:noHBand="0" w:noVBand="1"/>
      </w:tblPr>
      <w:tblGrid>
        <w:gridCol w:w="1129"/>
        <w:gridCol w:w="7931"/>
      </w:tblGrid>
      <w:tr w:rsidR="0088754A" w14:paraId="7554EE75" w14:textId="77777777" w:rsidTr="0062694C">
        <w:tc>
          <w:tcPr>
            <w:tcW w:w="1129" w:type="dxa"/>
          </w:tcPr>
          <w:p w14:paraId="65B5A423" w14:textId="4DEA0DDB" w:rsidR="0088754A" w:rsidRDefault="0088754A" w:rsidP="0088754A">
            <w:pPr>
              <w:autoSpaceDE/>
              <w:autoSpaceDN/>
              <w:adjustRightInd/>
              <w:spacing w:after="0"/>
              <w:rPr>
                <w:rFonts w:ascii="Calibri" w:hAnsi="Calibri" w:cs="Calibri"/>
                <w:color w:val="FF0000"/>
                <w:lang w:bidi="ar-SA"/>
              </w:rPr>
            </w:pPr>
            <w:r w:rsidRPr="0088754A">
              <w:rPr>
                <w:rFonts w:ascii="Calibri" w:hAnsi="Calibri" w:cs="Calibri"/>
                <w:color w:val="FF0000"/>
                <w:lang w:bidi="ar-SA"/>
              </w:rPr>
              <w:t>Nivå 1</w:t>
            </w:r>
          </w:p>
        </w:tc>
        <w:tc>
          <w:tcPr>
            <w:tcW w:w="7933" w:type="dxa"/>
          </w:tcPr>
          <w:p w14:paraId="56AC2E28" w14:textId="77777777" w:rsidR="005D5F0B" w:rsidRDefault="005D5F0B" w:rsidP="0088754A">
            <w:pPr>
              <w:autoSpaceDE/>
              <w:autoSpaceDN/>
              <w:adjustRightInd/>
              <w:spacing w:after="0"/>
              <w:rPr>
                <w:rFonts w:ascii="Calibri" w:hAnsi="Calibri" w:cs="Calibri"/>
                <w:color w:val="FF0000"/>
                <w:lang w:bidi="ar-SA"/>
              </w:rPr>
            </w:pPr>
            <w:r>
              <w:rPr>
                <w:rFonts w:ascii="Calibri" w:hAnsi="Calibri" w:cs="Calibri"/>
                <w:color w:val="auto"/>
                <w:lang w:bidi="ar-SA"/>
              </w:rPr>
              <w:t xml:space="preserve">Et helseforetak (HF), sykehus eller institusjon kan </w:t>
            </w:r>
            <w:r w:rsidRPr="003634D8">
              <w:rPr>
                <w:rFonts w:ascii="Calibri" w:hAnsi="Calibri" w:cs="Calibri"/>
                <w:color w:val="auto"/>
                <w:lang w:bidi="ar-SA"/>
              </w:rPr>
              <w:t>være et deltagende senter i en nasjonal multisenterstudie</w:t>
            </w:r>
            <w:r>
              <w:rPr>
                <w:rFonts w:ascii="Calibri" w:hAnsi="Calibri" w:cs="Calibri"/>
                <w:color w:val="FF0000"/>
                <w:lang w:bidi="ar-SA"/>
              </w:rPr>
              <w:t xml:space="preserve">. </w:t>
            </w:r>
          </w:p>
          <w:p w14:paraId="2DBE3BC2" w14:textId="12345532" w:rsidR="0088754A" w:rsidRDefault="005D5F0B" w:rsidP="0088754A">
            <w:pPr>
              <w:autoSpaceDE/>
              <w:autoSpaceDN/>
              <w:adjustRightInd/>
              <w:spacing w:after="0"/>
              <w:rPr>
                <w:rFonts w:ascii="Calibri" w:hAnsi="Calibri" w:cs="Calibri"/>
                <w:color w:val="FF0000"/>
                <w:lang w:bidi="ar-SA"/>
              </w:rPr>
            </w:pPr>
            <w:r>
              <w:rPr>
                <w:rFonts w:ascii="Calibri" w:hAnsi="Calibri" w:cs="Calibri"/>
                <w:color w:val="FF0000"/>
                <w:lang w:bidi="ar-SA"/>
              </w:rPr>
              <w:t>AP11</w:t>
            </w:r>
            <w:r w:rsidR="0088754A" w:rsidRPr="0088754A">
              <w:rPr>
                <w:rFonts w:ascii="Calibri" w:hAnsi="Calibri" w:cs="Calibri"/>
                <w:color w:val="FF0000"/>
                <w:lang w:bidi="ar-SA"/>
              </w:rPr>
              <w:t xml:space="preserve"> anser tjeneste/fasilitetene som er markert med rødt som et minimum for et foretak å ha lokalt på plass </w:t>
            </w:r>
            <w:r w:rsidR="00827B29">
              <w:rPr>
                <w:rFonts w:ascii="Calibri" w:hAnsi="Calibri" w:cs="Calibri"/>
                <w:color w:val="FF0000"/>
                <w:lang w:bidi="ar-SA"/>
              </w:rPr>
              <w:t>i forskningsstøtte</w:t>
            </w:r>
            <w:r>
              <w:rPr>
                <w:rFonts w:ascii="Calibri" w:hAnsi="Calibri" w:cs="Calibri"/>
                <w:color w:val="FF0000"/>
                <w:lang w:bidi="ar-SA"/>
              </w:rPr>
              <w:t>, eller hos forsker/studiegruppe,</w:t>
            </w:r>
            <w:r w:rsidR="00827B29">
              <w:rPr>
                <w:rFonts w:ascii="Calibri" w:hAnsi="Calibri" w:cs="Calibri"/>
                <w:color w:val="FF0000"/>
                <w:lang w:bidi="ar-SA"/>
              </w:rPr>
              <w:t xml:space="preserve"> </w:t>
            </w:r>
            <w:r w:rsidR="0088754A" w:rsidRPr="0088754A">
              <w:rPr>
                <w:rFonts w:ascii="Calibri" w:hAnsi="Calibri" w:cs="Calibri"/>
                <w:color w:val="FF0000"/>
                <w:lang w:bidi="ar-SA"/>
              </w:rPr>
              <w:t>for å kunne være et delta</w:t>
            </w:r>
            <w:r w:rsidR="0088754A">
              <w:rPr>
                <w:rFonts w:ascii="Calibri" w:hAnsi="Calibri" w:cs="Calibri"/>
                <w:color w:val="FF0000"/>
                <w:lang w:bidi="ar-SA"/>
              </w:rPr>
              <w:t xml:space="preserve">gende senter i en nasjonal </w:t>
            </w:r>
            <w:r w:rsidR="001567B9">
              <w:rPr>
                <w:rFonts w:ascii="Calibri" w:hAnsi="Calibri" w:cs="Calibri"/>
                <w:color w:val="FF0000"/>
                <w:lang w:bidi="ar-SA"/>
              </w:rPr>
              <w:t>multisenter</w:t>
            </w:r>
            <w:r w:rsidR="0088754A" w:rsidRPr="0088754A">
              <w:rPr>
                <w:rFonts w:ascii="Calibri" w:hAnsi="Calibri" w:cs="Calibri"/>
                <w:color w:val="FF0000"/>
                <w:lang w:bidi="ar-SA"/>
              </w:rPr>
              <w:t xml:space="preserve">studie. </w:t>
            </w:r>
          </w:p>
          <w:p w14:paraId="0466C309" w14:textId="77777777" w:rsidR="0088754A" w:rsidRDefault="0088754A" w:rsidP="0088754A">
            <w:pPr>
              <w:autoSpaceDE/>
              <w:autoSpaceDN/>
              <w:adjustRightInd/>
              <w:spacing w:after="0"/>
              <w:rPr>
                <w:rFonts w:ascii="Calibri" w:hAnsi="Calibri" w:cs="Calibri"/>
                <w:color w:val="FF0000"/>
                <w:lang w:bidi="ar-SA"/>
              </w:rPr>
            </w:pPr>
          </w:p>
        </w:tc>
      </w:tr>
      <w:tr w:rsidR="0088754A" w14:paraId="74D39332" w14:textId="77777777" w:rsidTr="0062694C">
        <w:tc>
          <w:tcPr>
            <w:tcW w:w="1129" w:type="dxa"/>
          </w:tcPr>
          <w:p w14:paraId="564CF590" w14:textId="3565D96A" w:rsidR="0088754A" w:rsidRDefault="0088754A" w:rsidP="0088754A">
            <w:pPr>
              <w:autoSpaceDE/>
              <w:autoSpaceDN/>
              <w:adjustRightInd/>
              <w:spacing w:after="0"/>
              <w:rPr>
                <w:rFonts w:ascii="Calibri" w:hAnsi="Calibri" w:cs="Calibri"/>
                <w:color w:val="FF0000"/>
                <w:lang w:bidi="ar-SA"/>
              </w:rPr>
            </w:pPr>
            <w:r>
              <w:rPr>
                <w:rFonts w:ascii="Calibri" w:hAnsi="Calibri" w:cs="Calibri"/>
                <w:color w:val="auto"/>
                <w:lang w:bidi="ar-SA"/>
              </w:rPr>
              <w:t>Nivå 2</w:t>
            </w:r>
          </w:p>
        </w:tc>
        <w:tc>
          <w:tcPr>
            <w:tcW w:w="7933" w:type="dxa"/>
          </w:tcPr>
          <w:p w14:paraId="7378FE7B" w14:textId="6973DE73" w:rsidR="005D5F0B" w:rsidRDefault="007B5A86" w:rsidP="0088754A">
            <w:pPr>
              <w:autoSpaceDE/>
              <w:autoSpaceDN/>
              <w:adjustRightInd/>
              <w:spacing w:after="0"/>
              <w:rPr>
                <w:rFonts w:ascii="Calibri" w:hAnsi="Calibri" w:cs="Calibri"/>
                <w:color w:val="auto"/>
                <w:lang w:bidi="ar-SA"/>
              </w:rPr>
            </w:pPr>
            <w:r>
              <w:rPr>
                <w:rFonts w:ascii="Calibri" w:hAnsi="Calibri" w:cs="Calibri"/>
                <w:color w:val="auto"/>
                <w:lang w:bidi="ar-SA"/>
              </w:rPr>
              <w:t>Et HF, sykehus eller institusjonen</w:t>
            </w:r>
            <w:r w:rsidRPr="003634D8">
              <w:rPr>
                <w:rFonts w:ascii="Calibri" w:hAnsi="Calibri" w:cs="Calibri"/>
                <w:color w:val="auto"/>
                <w:lang w:bidi="ar-SA"/>
              </w:rPr>
              <w:t xml:space="preserve"> </w:t>
            </w:r>
            <w:r w:rsidR="005D5F0B">
              <w:rPr>
                <w:rFonts w:ascii="Calibri" w:hAnsi="Calibri" w:cs="Calibri"/>
                <w:color w:val="auto"/>
                <w:lang w:bidi="ar-SA"/>
              </w:rPr>
              <w:t xml:space="preserve">kan være </w:t>
            </w:r>
            <w:r w:rsidRPr="003634D8">
              <w:rPr>
                <w:rFonts w:ascii="Calibri" w:hAnsi="Calibri" w:cs="Calibri"/>
                <w:color w:val="auto"/>
                <w:lang w:bidi="ar-SA"/>
              </w:rPr>
              <w:t>sponsor i en klinisk studie.</w:t>
            </w:r>
          </w:p>
          <w:p w14:paraId="61758747" w14:textId="41DE6C85" w:rsidR="0088754A" w:rsidRDefault="0088754A" w:rsidP="006125A5">
            <w:pPr>
              <w:autoSpaceDE/>
              <w:autoSpaceDN/>
              <w:adjustRightInd/>
              <w:spacing w:after="0"/>
              <w:rPr>
                <w:rFonts w:ascii="Calibri" w:hAnsi="Calibri" w:cs="Calibri"/>
                <w:color w:val="FF0000"/>
                <w:lang w:bidi="ar-SA"/>
              </w:rPr>
            </w:pPr>
            <w:r>
              <w:rPr>
                <w:rFonts w:ascii="Calibri" w:hAnsi="Calibri" w:cs="Calibri"/>
                <w:color w:val="auto"/>
                <w:lang w:bidi="ar-SA"/>
              </w:rPr>
              <w:t>Tjenester</w:t>
            </w:r>
            <w:r w:rsidR="00421F59">
              <w:rPr>
                <w:rFonts w:ascii="Calibri" w:hAnsi="Calibri" w:cs="Calibri"/>
                <w:color w:val="auto"/>
                <w:lang w:bidi="ar-SA"/>
              </w:rPr>
              <w:t xml:space="preserve"> </w:t>
            </w:r>
            <w:r>
              <w:rPr>
                <w:rFonts w:ascii="Calibri" w:hAnsi="Calibri" w:cs="Calibri"/>
                <w:color w:val="auto"/>
                <w:lang w:bidi="ar-SA"/>
              </w:rPr>
              <w:t>som trengs rundt e</w:t>
            </w:r>
            <w:r w:rsidR="0062694C">
              <w:rPr>
                <w:rFonts w:ascii="Calibri" w:hAnsi="Calibri" w:cs="Calibri"/>
                <w:color w:val="auto"/>
                <w:lang w:bidi="ar-SA"/>
              </w:rPr>
              <w:t xml:space="preserve">n </w:t>
            </w:r>
            <w:r w:rsidR="005D5F0B">
              <w:rPr>
                <w:rFonts w:ascii="Calibri" w:hAnsi="Calibri" w:cs="Calibri"/>
                <w:color w:val="auto"/>
                <w:lang w:bidi="ar-SA"/>
              </w:rPr>
              <w:t xml:space="preserve">studie, slik at institusjonen </w:t>
            </w:r>
            <w:r w:rsidR="008C4A7C">
              <w:rPr>
                <w:rFonts w:ascii="Calibri" w:hAnsi="Calibri" w:cs="Calibri"/>
                <w:color w:val="auto"/>
                <w:lang w:bidi="ar-SA"/>
              </w:rPr>
              <w:t xml:space="preserve">kan </w:t>
            </w:r>
            <w:r>
              <w:rPr>
                <w:rFonts w:ascii="Calibri" w:hAnsi="Calibri" w:cs="Calibri"/>
                <w:color w:val="auto"/>
                <w:lang w:bidi="ar-SA"/>
              </w:rPr>
              <w:t>ta rollen som sponsor</w:t>
            </w:r>
            <w:r w:rsidR="005D5F0B">
              <w:rPr>
                <w:rFonts w:ascii="Calibri" w:hAnsi="Calibri" w:cs="Calibri"/>
                <w:color w:val="auto"/>
                <w:lang w:bidi="ar-SA"/>
              </w:rPr>
              <w:t>/forskningsansvarlig</w:t>
            </w:r>
            <w:r w:rsidRPr="0088754A">
              <w:rPr>
                <w:rFonts w:ascii="Calibri" w:hAnsi="Calibri" w:cs="Calibri"/>
                <w:color w:val="auto"/>
                <w:lang w:bidi="ar-SA"/>
              </w:rPr>
              <w:t xml:space="preserve">. </w:t>
            </w:r>
            <w:r w:rsidR="00E33986">
              <w:rPr>
                <w:rFonts w:ascii="Calibri" w:hAnsi="Calibri" w:cs="Calibri"/>
                <w:color w:val="auto"/>
                <w:lang w:bidi="ar-SA"/>
              </w:rPr>
              <w:t>AP11 anbefaler at f</w:t>
            </w:r>
            <w:r w:rsidR="00827B29">
              <w:rPr>
                <w:rFonts w:ascii="Calibri" w:hAnsi="Calibri" w:cs="Calibri"/>
                <w:color w:val="auto"/>
                <w:lang w:bidi="ar-SA"/>
              </w:rPr>
              <w:t xml:space="preserve">orskningsstøtte </w:t>
            </w:r>
            <w:r w:rsidR="005D5F0B">
              <w:rPr>
                <w:rFonts w:ascii="Calibri" w:hAnsi="Calibri" w:cs="Calibri"/>
                <w:color w:val="auto"/>
                <w:lang w:bidi="ar-SA"/>
              </w:rPr>
              <w:t xml:space="preserve">som hovedregel </w:t>
            </w:r>
            <w:r w:rsidRPr="0088754A">
              <w:rPr>
                <w:rFonts w:ascii="Calibri" w:hAnsi="Calibri" w:cs="Calibri"/>
                <w:color w:val="auto"/>
                <w:lang w:bidi="ar-SA"/>
              </w:rPr>
              <w:t>ha</w:t>
            </w:r>
            <w:r w:rsidR="00E33986">
              <w:rPr>
                <w:rFonts w:ascii="Calibri" w:hAnsi="Calibri" w:cs="Calibri"/>
                <w:color w:val="auto"/>
                <w:lang w:bidi="ar-SA"/>
              </w:rPr>
              <w:t>r</w:t>
            </w:r>
            <w:r w:rsidRPr="0088754A">
              <w:rPr>
                <w:rFonts w:ascii="Calibri" w:hAnsi="Calibri" w:cs="Calibri"/>
                <w:color w:val="auto"/>
                <w:lang w:bidi="ar-SA"/>
              </w:rPr>
              <w:t xml:space="preserve"> alle nivå 1</w:t>
            </w:r>
            <w:r w:rsidR="005D5F0B">
              <w:rPr>
                <w:rFonts w:ascii="Calibri" w:hAnsi="Calibri" w:cs="Calibri"/>
                <w:color w:val="auto"/>
                <w:lang w:bidi="ar-SA"/>
              </w:rPr>
              <w:t>-tjenestene</w:t>
            </w:r>
            <w:r w:rsidRPr="0088754A">
              <w:rPr>
                <w:rFonts w:ascii="Calibri" w:hAnsi="Calibri" w:cs="Calibri"/>
                <w:color w:val="auto"/>
                <w:lang w:bidi="ar-SA"/>
              </w:rPr>
              <w:t xml:space="preserve"> lokalt, samt </w:t>
            </w:r>
            <w:r w:rsidR="005D5F0B">
              <w:rPr>
                <w:rFonts w:ascii="Calibri" w:hAnsi="Calibri" w:cs="Calibri"/>
                <w:color w:val="auto"/>
                <w:lang w:bidi="ar-SA"/>
              </w:rPr>
              <w:t>lokal, r</w:t>
            </w:r>
            <w:r w:rsidR="005D5F0B" w:rsidRPr="0088754A">
              <w:rPr>
                <w:rFonts w:ascii="Calibri" w:hAnsi="Calibri" w:cs="Calibri"/>
                <w:color w:val="auto"/>
                <w:lang w:bidi="ar-SA"/>
              </w:rPr>
              <w:t xml:space="preserve">egional </w:t>
            </w:r>
            <w:r w:rsidRPr="0088754A">
              <w:rPr>
                <w:rFonts w:ascii="Calibri" w:hAnsi="Calibri" w:cs="Calibri"/>
                <w:color w:val="auto"/>
                <w:lang w:bidi="ar-SA"/>
              </w:rPr>
              <w:t xml:space="preserve">eller nasjonal </w:t>
            </w:r>
            <w:r w:rsidR="001567B9">
              <w:rPr>
                <w:rFonts w:ascii="Calibri" w:hAnsi="Calibri" w:cs="Calibri"/>
                <w:color w:val="auto"/>
                <w:lang w:bidi="ar-SA"/>
              </w:rPr>
              <w:t xml:space="preserve">tilgang til </w:t>
            </w:r>
            <w:r w:rsidRPr="0088754A">
              <w:rPr>
                <w:rFonts w:ascii="Calibri" w:hAnsi="Calibri" w:cs="Calibri"/>
                <w:color w:val="auto"/>
                <w:lang w:bidi="ar-SA"/>
              </w:rPr>
              <w:t>støttefunksjoner på alle de andre tjenestene.</w:t>
            </w:r>
            <w:r w:rsidR="005D5F0B">
              <w:rPr>
                <w:rFonts w:ascii="Calibri" w:hAnsi="Calibri" w:cs="Calibri"/>
                <w:color w:val="auto"/>
                <w:lang w:bidi="ar-SA"/>
              </w:rPr>
              <w:t xml:space="preserve"> </w:t>
            </w:r>
          </w:p>
        </w:tc>
      </w:tr>
      <w:tr w:rsidR="0088754A" w14:paraId="679E834C" w14:textId="77777777" w:rsidTr="0062694C">
        <w:tc>
          <w:tcPr>
            <w:tcW w:w="1129" w:type="dxa"/>
          </w:tcPr>
          <w:p w14:paraId="73C2CE49" w14:textId="791BAB9A" w:rsidR="0088754A" w:rsidRDefault="0088754A" w:rsidP="0088754A">
            <w:pPr>
              <w:autoSpaceDE/>
              <w:autoSpaceDN/>
              <w:adjustRightInd/>
              <w:spacing w:after="0"/>
              <w:rPr>
                <w:rFonts w:ascii="Calibri" w:hAnsi="Calibri" w:cs="Calibri"/>
                <w:color w:val="FF0000"/>
                <w:lang w:bidi="ar-SA"/>
              </w:rPr>
            </w:pPr>
            <w:r>
              <w:rPr>
                <w:rFonts w:ascii="Calibri" w:hAnsi="Calibri" w:cs="Calibri"/>
                <w:lang w:bidi="ar-SA"/>
              </w:rPr>
              <w:t>Nivå 3</w:t>
            </w:r>
          </w:p>
        </w:tc>
        <w:tc>
          <w:tcPr>
            <w:tcW w:w="7933" w:type="dxa"/>
          </w:tcPr>
          <w:p w14:paraId="619C7B47" w14:textId="3D7D867A" w:rsidR="003768F3" w:rsidRPr="0088754A" w:rsidRDefault="008C4A7C" w:rsidP="00827B29">
            <w:pPr>
              <w:autoSpaceDE/>
              <w:autoSpaceDN/>
              <w:adjustRightInd/>
              <w:spacing w:after="0"/>
              <w:rPr>
                <w:rFonts w:ascii="Calibri" w:hAnsi="Calibri" w:cs="Calibri"/>
                <w:lang w:bidi="ar-SA"/>
              </w:rPr>
            </w:pPr>
            <w:r>
              <w:rPr>
                <w:rFonts w:ascii="Calibri" w:hAnsi="Calibri" w:cs="Calibri"/>
                <w:color w:val="auto"/>
                <w:lang w:bidi="ar-SA"/>
              </w:rPr>
              <w:t>Et HF, sykehus eller institusjonen</w:t>
            </w:r>
            <w:r w:rsidRPr="003634D8">
              <w:rPr>
                <w:rFonts w:ascii="Calibri" w:hAnsi="Calibri" w:cs="Calibri"/>
                <w:color w:val="auto"/>
                <w:lang w:bidi="ar-SA"/>
              </w:rPr>
              <w:t xml:space="preserve"> </w:t>
            </w:r>
            <w:r>
              <w:rPr>
                <w:rFonts w:ascii="Calibri" w:hAnsi="Calibri" w:cs="Calibri"/>
                <w:color w:val="auto"/>
                <w:lang w:bidi="ar-SA"/>
              </w:rPr>
              <w:t>kan være</w:t>
            </w:r>
            <w:r w:rsidRPr="003634D8">
              <w:rPr>
                <w:rFonts w:ascii="Calibri" w:hAnsi="Calibri" w:cs="Calibri"/>
                <w:color w:val="auto"/>
                <w:lang w:bidi="ar-SA"/>
              </w:rPr>
              <w:t xml:space="preserve"> sponsor for en nasjonal multisenterstudie</w:t>
            </w:r>
            <w:r>
              <w:rPr>
                <w:rFonts w:ascii="Calibri" w:hAnsi="Calibri" w:cs="Calibri"/>
                <w:color w:val="auto"/>
                <w:lang w:bidi="ar-SA"/>
              </w:rPr>
              <w:t xml:space="preserve">. </w:t>
            </w:r>
            <w:r w:rsidR="0088754A">
              <w:rPr>
                <w:rFonts w:ascii="Calibri" w:hAnsi="Calibri" w:cs="Calibri"/>
                <w:lang w:bidi="ar-SA"/>
              </w:rPr>
              <w:t xml:space="preserve">Tjenester som trengs </w:t>
            </w:r>
            <w:r w:rsidR="002E1E27">
              <w:rPr>
                <w:rFonts w:ascii="Calibri" w:hAnsi="Calibri" w:cs="Calibri"/>
                <w:lang w:bidi="ar-SA"/>
              </w:rPr>
              <w:t xml:space="preserve">rundt </w:t>
            </w:r>
            <w:r w:rsidR="0062694C">
              <w:rPr>
                <w:rFonts w:ascii="Calibri" w:hAnsi="Calibri" w:cs="Calibri"/>
                <w:lang w:bidi="ar-SA"/>
              </w:rPr>
              <w:t xml:space="preserve">en </w:t>
            </w:r>
            <w:r w:rsidR="005D5F0B">
              <w:rPr>
                <w:rFonts w:ascii="Calibri" w:hAnsi="Calibri" w:cs="Calibri"/>
                <w:lang w:bidi="ar-SA"/>
              </w:rPr>
              <w:t xml:space="preserve">studie, slik at institusjonen kan ta rollen som </w:t>
            </w:r>
            <w:r w:rsidR="0088754A" w:rsidRPr="0088754A">
              <w:rPr>
                <w:rFonts w:ascii="Calibri" w:hAnsi="Calibri" w:cs="Calibri"/>
                <w:lang w:bidi="ar-SA"/>
              </w:rPr>
              <w:t xml:space="preserve">sponsor for en </w:t>
            </w:r>
            <w:r w:rsidR="0088754A">
              <w:rPr>
                <w:rFonts w:ascii="Calibri" w:hAnsi="Calibri" w:cs="Calibri"/>
                <w:lang w:bidi="ar-SA"/>
              </w:rPr>
              <w:t xml:space="preserve">nasjonal multisenterstudie. </w:t>
            </w:r>
            <w:r w:rsidR="00E33986">
              <w:rPr>
                <w:rFonts w:ascii="Calibri" w:hAnsi="Calibri" w:cs="Calibri"/>
                <w:lang w:bidi="ar-SA"/>
              </w:rPr>
              <w:t>AP11 anbefaler at f</w:t>
            </w:r>
            <w:r w:rsidR="00092295">
              <w:rPr>
                <w:rFonts w:ascii="Calibri" w:hAnsi="Calibri" w:cs="Calibri"/>
                <w:lang w:bidi="ar-SA"/>
              </w:rPr>
              <w:t xml:space="preserve">orskningsstøtte lokalt eller regionalt </w:t>
            </w:r>
            <w:r w:rsidR="00E33986">
              <w:rPr>
                <w:rFonts w:ascii="Calibri" w:hAnsi="Calibri" w:cs="Calibri"/>
                <w:lang w:bidi="ar-SA"/>
              </w:rPr>
              <w:t xml:space="preserve">har alle </w:t>
            </w:r>
            <w:r w:rsidR="00092295">
              <w:rPr>
                <w:rFonts w:ascii="Calibri" w:hAnsi="Calibri" w:cs="Calibri"/>
                <w:lang w:bidi="ar-SA"/>
              </w:rPr>
              <w:t xml:space="preserve">tjenester/fagområder </w:t>
            </w:r>
            <w:r w:rsidR="003768F3">
              <w:rPr>
                <w:rFonts w:ascii="Calibri" w:hAnsi="Calibri" w:cs="Calibri"/>
                <w:lang w:bidi="ar-SA"/>
              </w:rPr>
              <w:t>som anbefales</w:t>
            </w:r>
            <w:r w:rsidR="0088754A" w:rsidRPr="0088754A">
              <w:rPr>
                <w:rFonts w:ascii="Calibri" w:hAnsi="Calibri" w:cs="Calibri"/>
                <w:lang w:bidi="ar-SA"/>
              </w:rPr>
              <w:t xml:space="preserve"> på nivå 2</w:t>
            </w:r>
            <w:r w:rsidR="00092295">
              <w:rPr>
                <w:rFonts w:ascii="Calibri" w:hAnsi="Calibri" w:cs="Calibri"/>
                <w:lang w:bidi="ar-SA"/>
              </w:rPr>
              <w:t>,</w:t>
            </w:r>
            <w:r w:rsidR="0088754A" w:rsidRPr="0088754A">
              <w:rPr>
                <w:rFonts w:ascii="Calibri" w:hAnsi="Calibri" w:cs="Calibri"/>
                <w:lang w:bidi="ar-SA"/>
              </w:rPr>
              <w:t xml:space="preserve"> samt </w:t>
            </w:r>
            <w:r w:rsidR="00092295">
              <w:rPr>
                <w:rFonts w:ascii="Calibri" w:hAnsi="Calibri" w:cs="Calibri"/>
                <w:lang w:bidi="ar-SA"/>
              </w:rPr>
              <w:t>ha</w:t>
            </w:r>
            <w:r w:rsidR="00E33986">
              <w:rPr>
                <w:rFonts w:ascii="Calibri" w:hAnsi="Calibri" w:cs="Calibri"/>
                <w:lang w:bidi="ar-SA"/>
              </w:rPr>
              <w:t>r</w:t>
            </w:r>
            <w:r w:rsidR="00092295">
              <w:rPr>
                <w:rFonts w:ascii="Calibri" w:hAnsi="Calibri" w:cs="Calibri"/>
                <w:lang w:bidi="ar-SA"/>
              </w:rPr>
              <w:t xml:space="preserve"> </w:t>
            </w:r>
            <w:r w:rsidR="0088754A" w:rsidRPr="0088754A">
              <w:rPr>
                <w:rFonts w:ascii="Calibri" w:hAnsi="Calibri" w:cs="Calibri"/>
                <w:lang w:bidi="ar-SA"/>
              </w:rPr>
              <w:t>erfaring med å</w:t>
            </w:r>
            <w:r w:rsidR="00092295">
              <w:rPr>
                <w:rFonts w:ascii="Calibri" w:hAnsi="Calibri" w:cs="Calibri"/>
                <w:lang w:bidi="ar-SA"/>
              </w:rPr>
              <w:t xml:space="preserve"> støtte</w:t>
            </w:r>
            <w:r w:rsidR="0088754A" w:rsidRPr="0088754A">
              <w:rPr>
                <w:rFonts w:ascii="Calibri" w:hAnsi="Calibri" w:cs="Calibri"/>
                <w:lang w:bidi="ar-SA"/>
              </w:rPr>
              <w:t xml:space="preserve"> sponsor</w:t>
            </w:r>
            <w:r w:rsidR="00E33986">
              <w:rPr>
                <w:rFonts w:ascii="Calibri" w:hAnsi="Calibri" w:cs="Calibri"/>
                <w:lang w:bidi="ar-SA"/>
              </w:rPr>
              <w:t>/forskningsansvarlig</w:t>
            </w:r>
            <w:r w:rsidR="0088754A" w:rsidRPr="0088754A">
              <w:rPr>
                <w:rFonts w:ascii="Calibri" w:hAnsi="Calibri" w:cs="Calibri"/>
                <w:lang w:bidi="ar-SA"/>
              </w:rPr>
              <w:t xml:space="preserve"> i flere kliniske studier</w:t>
            </w:r>
            <w:r w:rsidR="00E33986">
              <w:rPr>
                <w:rFonts w:ascii="Calibri" w:hAnsi="Calibri" w:cs="Calibri"/>
                <w:lang w:bidi="ar-SA"/>
              </w:rPr>
              <w:t xml:space="preserve"> i egen institusjon</w:t>
            </w:r>
            <w:r w:rsidR="00092295">
              <w:rPr>
                <w:rFonts w:ascii="Calibri" w:hAnsi="Calibri" w:cs="Calibri"/>
                <w:lang w:bidi="ar-SA"/>
              </w:rPr>
              <w:t>.</w:t>
            </w:r>
            <w:r w:rsidR="00827B29">
              <w:rPr>
                <w:rFonts w:ascii="Calibri" w:hAnsi="Calibri" w:cs="Calibri"/>
                <w:lang w:bidi="ar-SA"/>
              </w:rPr>
              <w:t xml:space="preserve"> </w:t>
            </w:r>
          </w:p>
          <w:p w14:paraId="1370C0BB" w14:textId="77777777" w:rsidR="0088754A" w:rsidRDefault="0088754A" w:rsidP="003768F3">
            <w:pPr>
              <w:autoSpaceDE/>
              <w:autoSpaceDN/>
              <w:adjustRightInd/>
              <w:spacing w:after="0"/>
              <w:rPr>
                <w:rFonts w:ascii="Calibri" w:hAnsi="Calibri" w:cs="Calibri"/>
                <w:color w:val="FF0000"/>
                <w:lang w:bidi="ar-SA"/>
              </w:rPr>
            </w:pPr>
          </w:p>
        </w:tc>
      </w:tr>
      <w:tr w:rsidR="0088754A" w14:paraId="5C03FD6A" w14:textId="77777777" w:rsidTr="0062694C">
        <w:tc>
          <w:tcPr>
            <w:tcW w:w="1129" w:type="dxa"/>
          </w:tcPr>
          <w:p w14:paraId="471FF1BF" w14:textId="4BEB1407" w:rsidR="0088754A" w:rsidRDefault="0088754A" w:rsidP="0088754A">
            <w:pPr>
              <w:autoSpaceDE/>
              <w:autoSpaceDN/>
              <w:adjustRightInd/>
              <w:spacing w:after="0"/>
              <w:rPr>
                <w:rFonts w:ascii="Calibri" w:hAnsi="Calibri" w:cs="Calibri"/>
                <w:color w:val="FF0000"/>
                <w:lang w:bidi="ar-SA"/>
              </w:rPr>
            </w:pPr>
            <w:r>
              <w:rPr>
                <w:rFonts w:ascii="Calibri" w:hAnsi="Calibri" w:cs="Calibri"/>
                <w:color w:val="70AD47"/>
                <w:lang w:bidi="ar-SA"/>
              </w:rPr>
              <w:t>Nivå 4</w:t>
            </w:r>
          </w:p>
        </w:tc>
        <w:tc>
          <w:tcPr>
            <w:tcW w:w="7933" w:type="dxa"/>
          </w:tcPr>
          <w:p w14:paraId="1099CDF9" w14:textId="77777777" w:rsidR="00E33986" w:rsidRDefault="00E33986" w:rsidP="0088754A">
            <w:pPr>
              <w:autoSpaceDE/>
              <w:autoSpaceDN/>
              <w:adjustRightInd/>
              <w:spacing w:after="0"/>
              <w:rPr>
                <w:rFonts w:ascii="Calibri" w:hAnsi="Calibri" w:cs="Calibri"/>
                <w:color w:val="auto"/>
                <w:lang w:bidi="ar-SA"/>
              </w:rPr>
            </w:pPr>
            <w:r>
              <w:rPr>
                <w:rFonts w:ascii="Calibri" w:hAnsi="Calibri" w:cs="Calibri"/>
                <w:color w:val="auto"/>
                <w:lang w:bidi="ar-SA"/>
              </w:rPr>
              <w:t xml:space="preserve">Et HF eller sykehus kan </w:t>
            </w:r>
            <w:r w:rsidRPr="003634D8">
              <w:rPr>
                <w:rFonts w:ascii="Calibri" w:hAnsi="Calibri" w:cs="Calibri"/>
                <w:color w:val="auto"/>
                <w:lang w:bidi="ar-SA"/>
              </w:rPr>
              <w:t>være sponsor for en internasjonal multisenterstudie</w:t>
            </w:r>
            <w:r>
              <w:rPr>
                <w:rFonts w:ascii="Calibri" w:hAnsi="Calibri" w:cs="Calibri"/>
                <w:color w:val="auto"/>
                <w:lang w:bidi="ar-SA"/>
              </w:rPr>
              <w:t>.</w:t>
            </w:r>
          </w:p>
          <w:p w14:paraId="2F89FEE2" w14:textId="03AD5AF7" w:rsidR="0088754A" w:rsidRDefault="0088754A" w:rsidP="00E33986">
            <w:pPr>
              <w:autoSpaceDE/>
              <w:autoSpaceDN/>
              <w:adjustRightInd/>
              <w:spacing w:after="0"/>
              <w:rPr>
                <w:rFonts w:ascii="Calibri" w:hAnsi="Calibri" w:cs="Calibri"/>
                <w:color w:val="FF0000"/>
                <w:lang w:bidi="ar-SA"/>
              </w:rPr>
            </w:pPr>
            <w:r>
              <w:rPr>
                <w:rFonts w:ascii="Calibri" w:hAnsi="Calibri" w:cs="Calibri"/>
                <w:color w:val="70AD47"/>
                <w:lang w:bidi="ar-SA"/>
              </w:rPr>
              <w:t xml:space="preserve">Tjenester som trengs </w:t>
            </w:r>
            <w:r w:rsidR="002E1E27">
              <w:rPr>
                <w:rFonts w:ascii="Calibri" w:hAnsi="Calibri" w:cs="Calibri"/>
                <w:color w:val="70AD47"/>
                <w:lang w:bidi="ar-SA"/>
              </w:rPr>
              <w:t xml:space="preserve">rundt </w:t>
            </w:r>
            <w:r w:rsidR="00E33986">
              <w:rPr>
                <w:rFonts w:ascii="Calibri" w:hAnsi="Calibri" w:cs="Calibri"/>
                <w:color w:val="70AD47"/>
                <w:lang w:bidi="ar-SA"/>
              </w:rPr>
              <w:t>en studie, slik at institusjonen kan</w:t>
            </w:r>
            <w:r w:rsidR="002E1E27">
              <w:rPr>
                <w:rFonts w:ascii="Calibri" w:hAnsi="Calibri" w:cs="Calibri"/>
                <w:color w:val="70AD47"/>
                <w:lang w:bidi="ar-SA"/>
              </w:rPr>
              <w:t xml:space="preserve"> </w:t>
            </w:r>
            <w:r w:rsidRPr="0088754A">
              <w:rPr>
                <w:rFonts w:ascii="Calibri" w:hAnsi="Calibri" w:cs="Calibri"/>
                <w:color w:val="70AD47"/>
                <w:lang w:bidi="ar-SA"/>
              </w:rPr>
              <w:t xml:space="preserve">være sponsor for en </w:t>
            </w:r>
            <w:r w:rsidR="002E1E27">
              <w:rPr>
                <w:rFonts w:ascii="Calibri" w:hAnsi="Calibri" w:cs="Calibri"/>
                <w:color w:val="70AD47"/>
                <w:lang w:bidi="ar-SA"/>
              </w:rPr>
              <w:t xml:space="preserve">internasjonal </w:t>
            </w:r>
            <w:r w:rsidRPr="0088754A">
              <w:rPr>
                <w:rFonts w:ascii="Calibri" w:hAnsi="Calibri" w:cs="Calibri"/>
                <w:color w:val="70AD47"/>
                <w:lang w:bidi="ar-SA"/>
              </w:rPr>
              <w:t>mul</w:t>
            </w:r>
            <w:r w:rsidR="002E1E27">
              <w:rPr>
                <w:rFonts w:ascii="Calibri" w:hAnsi="Calibri" w:cs="Calibri"/>
                <w:color w:val="70AD47"/>
                <w:lang w:bidi="ar-SA"/>
              </w:rPr>
              <w:t>tisenterstudie</w:t>
            </w:r>
            <w:r w:rsidR="005C6D5F">
              <w:rPr>
                <w:rFonts w:ascii="Calibri" w:hAnsi="Calibri" w:cs="Calibri"/>
                <w:color w:val="70AD47"/>
                <w:lang w:bidi="ar-SA"/>
              </w:rPr>
              <w:t>.</w:t>
            </w:r>
            <w:r w:rsidR="0049770D">
              <w:rPr>
                <w:rFonts w:ascii="Calibri" w:hAnsi="Calibri" w:cs="Calibri"/>
                <w:color w:val="70AD47"/>
                <w:lang w:bidi="ar-SA"/>
              </w:rPr>
              <w:t xml:space="preserve"> </w:t>
            </w:r>
            <w:r w:rsidR="00E33986">
              <w:rPr>
                <w:rFonts w:ascii="Calibri" w:hAnsi="Calibri" w:cs="Calibri"/>
                <w:color w:val="70AD47"/>
                <w:lang w:bidi="ar-SA"/>
              </w:rPr>
              <w:t>AP11 foreslår at f</w:t>
            </w:r>
            <w:r w:rsidR="00827B29" w:rsidRPr="00D64707">
              <w:rPr>
                <w:rFonts w:ascii="Calibri" w:hAnsi="Calibri" w:cs="Calibri"/>
                <w:color w:val="70AD47"/>
                <w:lang w:bidi="ar-SA"/>
              </w:rPr>
              <w:t>orskningsstøtte bør da lokalt eller regionalt sikre alle tjenester/fagområder</w:t>
            </w:r>
            <w:r w:rsidRPr="0088754A">
              <w:rPr>
                <w:rFonts w:ascii="Calibri" w:hAnsi="Calibri" w:cs="Calibri"/>
                <w:color w:val="70AD47"/>
                <w:lang w:bidi="ar-SA"/>
              </w:rPr>
              <w:t xml:space="preserve"> på nivå 2 og de to grønne punktene</w:t>
            </w:r>
            <w:r w:rsidR="00E33986">
              <w:rPr>
                <w:rFonts w:ascii="Calibri" w:hAnsi="Calibri" w:cs="Calibri"/>
                <w:color w:val="70AD47"/>
                <w:lang w:bidi="ar-SA"/>
              </w:rPr>
              <w:t xml:space="preserve"> (se i tabellen under)</w:t>
            </w:r>
            <w:r w:rsidRPr="0088754A">
              <w:rPr>
                <w:rFonts w:ascii="Calibri" w:hAnsi="Calibri" w:cs="Calibri"/>
                <w:color w:val="70AD47"/>
                <w:lang w:bidi="ar-SA"/>
              </w:rPr>
              <w:t xml:space="preserve">, samt erfaring med å </w:t>
            </w:r>
            <w:r w:rsidR="003768F3">
              <w:rPr>
                <w:rFonts w:ascii="Calibri" w:hAnsi="Calibri" w:cs="Calibri"/>
                <w:color w:val="70AD47"/>
                <w:lang w:bidi="ar-SA"/>
              </w:rPr>
              <w:t>støtte</w:t>
            </w:r>
            <w:r w:rsidR="003768F3" w:rsidRPr="0088754A">
              <w:rPr>
                <w:rFonts w:ascii="Calibri" w:hAnsi="Calibri" w:cs="Calibri"/>
                <w:color w:val="70AD47"/>
                <w:lang w:bidi="ar-SA"/>
              </w:rPr>
              <w:t xml:space="preserve"> </w:t>
            </w:r>
            <w:r w:rsidRPr="0088754A">
              <w:rPr>
                <w:rFonts w:ascii="Calibri" w:hAnsi="Calibri" w:cs="Calibri"/>
                <w:color w:val="70AD47"/>
                <w:lang w:bidi="ar-SA"/>
              </w:rPr>
              <w:t>sponsor</w:t>
            </w:r>
            <w:r w:rsidR="00E33986">
              <w:rPr>
                <w:rFonts w:ascii="Calibri" w:hAnsi="Calibri" w:cs="Calibri"/>
                <w:color w:val="70AD47"/>
                <w:lang w:bidi="ar-SA"/>
              </w:rPr>
              <w:t>/forskningsansvarlig</w:t>
            </w:r>
            <w:r w:rsidRPr="0088754A">
              <w:rPr>
                <w:rFonts w:ascii="Calibri" w:hAnsi="Calibri" w:cs="Calibri"/>
                <w:color w:val="70AD47"/>
                <w:lang w:bidi="ar-SA"/>
              </w:rPr>
              <w:t xml:space="preserve"> i flere </w:t>
            </w:r>
            <w:r w:rsidR="003768F3">
              <w:rPr>
                <w:rFonts w:ascii="Calibri" w:hAnsi="Calibri" w:cs="Calibri"/>
                <w:color w:val="70AD47"/>
                <w:lang w:bidi="ar-SA"/>
              </w:rPr>
              <w:t xml:space="preserve">nasjonale </w:t>
            </w:r>
            <w:r w:rsidRPr="0088754A">
              <w:rPr>
                <w:rFonts w:ascii="Calibri" w:hAnsi="Calibri" w:cs="Calibri"/>
                <w:color w:val="70AD47"/>
                <w:lang w:bidi="ar-SA"/>
              </w:rPr>
              <w:t>multisenterstudier</w:t>
            </w:r>
            <w:r w:rsidR="005C6D5F">
              <w:rPr>
                <w:rFonts w:ascii="Calibri" w:hAnsi="Calibri" w:cs="Calibri"/>
                <w:color w:val="70AD47"/>
                <w:lang w:bidi="ar-SA"/>
              </w:rPr>
              <w:t>.</w:t>
            </w:r>
          </w:p>
        </w:tc>
      </w:tr>
    </w:tbl>
    <w:p w14:paraId="19175C93" w14:textId="150E9A1C" w:rsidR="0088754A" w:rsidRPr="0049770D" w:rsidRDefault="003F4A6A" w:rsidP="0088754A">
      <w:pPr>
        <w:autoSpaceDE/>
        <w:autoSpaceDN/>
        <w:adjustRightInd/>
        <w:spacing w:after="0"/>
        <w:rPr>
          <w:rFonts w:ascii="Calibri" w:hAnsi="Calibri" w:cs="Calibri"/>
          <w:b/>
          <w:color w:val="auto"/>
          <w:lang w:bidi="ar-SA"/>
        </w:rPr>
      </w:pPr>
      <w:r>
        <w:rPr>
          <w:rFonts w:ascii="Calibri" w:hAnsi="Calibri" w:cs="Calibri"/>
          <w:b/>
          <w:color w:val="auto"/>
          <w:lang w:bidi="ar-SA"/>
        </w:rPr>
        <w:t>Tabell 1</w:t>
      </w:r>
      <w:r w:rsidR="002E1E27" w:rsidRPr="0049770D">
        <w:rPr>
          <w:rFonts w:ascii="Calibri" w:hAnsi="Calibri" w:cs="Calibri"/>
          <w:b/>
          <w:color w:val="auto"/>
          <w:lang w:bidi="ar-SA"/>
        </w:rPr>
        <w:t>: ulike nivåer/kompleksitet for kliniske studier, og krav/anbefalinger til kompetanse i forskningsstøtte</w:t>
      </w:r>
    </w:p>
    <w:p w14:paraId="3890251E" w14:textId="77777777" w:rsidR="0088754A" w:rsidRDefault="0088754A" w:rsidP="003C7351">
      <w:pPr>
        <w:contextualSpacing/>
        <w:rPr>
          <w:rFonts w:cs="Arial"/>
        </w:rPr>
      </w:pPr>
    </w:p>
    <w:p w14:paraId="4BBA7D47" w14:textId="767CEA12" w:rsidR="00E42422" w:rsidRDefault="00E42422" w:rsidP="003C7351">
      <w:pPr>
        <w:contextualSpacing/>
        <w:rPr>
          <w:rFonts w:cs="Arial"/>
        </w:rPr>
      </w:pPr>
      <w:r>
        <w:rPr>
          <w:rFonts w:cs="Arial"/>
        </w:rPr>
        <w:t xml:space="preserve"> </w:t>
      </w:r>
    </w:p>
    <w:p w14:paraId="1CA0C0CD" w14:textId="57633816" w:rsidR="00F95D03" w:rsidRDefault="002E1E27" w:rsidP="003C7351">
      <w:pPr>
        <w:contextualSpacing/>
        <w:rPr>
          <w:rFonts w:cs="Arial"/>
        </w:rPr>
      </w:pPr>
      <w:r>
        <w:rPr>
          <w:rFonts w:cs="Arial"/>
        </w:rPr>
        <w:lastRenderedPageBreak/>
        <w:t xml:space="preserve">For å lette lesbarhet, har vi delt </w:t>
      </w:r>
      <w:r w:rsidR="003768F3">
        <w:rPr>
          <w:rFonts w:cs="Arial"/>
        </w:rPr>
        <w:t xml:space="preserve">opp </w:t>
      </w:r>
      <w:r>
        <w:rPr>
          <w:rFonts w:cs="Arial"/>
        </w:rPr>
        <w:t>oversikten over fagområder</w:t>
      </w:r>
      <w:r w:rsidR="003768F3">
        <w:rPr>
          <w:rFonts w:cs="Arial"/>
        </w:rPr>
        <w:t>,</w:t>
      </w:r>
      <w:r>
        <w:rPr>
          <w:rFonts w:cs="Arial"/>
        </w:rPr>
        <w:t xml:space="preserve"> og beskriver rådgiving og praktisk støtte hver for seg.</w:t>
      </w:r>
    </w:p>
    <w:p w14:paraId="5156696F" w14:textId="094D2C19" w:rsidR="002E1E27" w:rsidRDefault="002E1E27" w:rsidP="003C7351">
      <w:pPr>
        <w:contextualSpacing/>
        <w:rPr>
          <w:rFonts w:cs="Arial"/>
        </w:rPr>
      </w:pPr>
    </w:p>
    <w:p w14:paraId="70A1802A" w14:textId="16D8E8CE" w:rsidR="002E1E27" w:rsidRDefault="002E1E27" w:rsidP="003C7351">
      <w:pPr>
        <w:contextualSpacing/>
        <w:rPr>
          <w:rFonts w:cs="Arial"/>
          <w:b/>
        </w:rPr>
      </w:pPr>
      <w:r w:rsidRPr="0062694C">
        <w:rPr>
          <w:rFonts w:cs="Arial"/>
          <w:b/>
        </w:rPr>
        <w:t>Rådgivning:</w:t>
      </w:r>
    </w:p>
    <w:p w14:paraId="1A67EA93" w14:textId="77777777" w:rsidR="003768F3" w:rsidRPr="0062694C" w:rsidRDefault="003768F3" w:rsidP="003C7351">
      <w:pPr>
        <w:contextualSpacing/>
        <w:rPr>
          <w:rFonts w:cs="Arial"/>
          <w:b/>
        </w:rPr>
      </w:pPr>
    </w:p>
    <w:tbl>
      <w:tblPr>
        <w:tblW w:w="9067" w:type="dxa"/>
        <w:tblCellMar>
          <w:left w:w="70" w:type="dxa"/>
          <w:right w:w="70" w:type="dxa"/>
        </w:tblCellMar>
        <w:tblLook w:val="04A0" w:firstRow="1" w:lastRow="0" w:firstColumn="1" w:lastColumn="0" w:noHBand="0" w:noVBand="1"/>
      </w:tblPr>
      <w:tblGrid>
        <w:gridCol w:w="4957"/>
        <w:gridCol w:w="4110"/>
      </w:tblGrid>
      <w:tr w:rsidR="00633D4B" w:rsidRPr="002E1E27" w14:paraId="06B63246" w14:textId="77777777" w:rsidTr="0062694C">
        <w:trPr>
          <w:trHeight w:val="600"/>
          <w:tblHeader/>
        </w:trPr>
        <w:tc>
          <w:tcPr>
            <w:tcW w:w="4957" w:type="dxa"/>
            <w:tcBorders>
              <w:top w:val="single" w:sz="4" w:space="0" w:color="A6A6A6"/>
              <w:left w:val="single" w:sz="4" w:space="0" w:color="A6A6A6"/>
              <w:bottom w:val="single" w:sz="4" w:space="0" w:color="A6A6A6"/>
              <w:right w:val="single" w:sz="4" w:space="0" w:color="A6A6A6"/>
            </w:tcBorders>
            <w:shd w:val="clear" w:color="auto" w:fill="DDD9C3" w:themeFill="background2" w:themeFillShade="E6"/>
          </w:tcPr>
          <w:p w14:paraId="77C5DBB9" w14:textId="51E2F078" w:rsidR="00633D4B" w:rsidRPr="0062694C" w:rsidRDefault="00633D4B" w:rsidP="002E1E27">
            <w:pPr>
              <w:autoSpaceDE/>
              <w:autoSpaceDN/>
              <w:adjustRightInd/>
              <w:spacing w:after="0"/>
              <w:rPr>
                <w:rFonts w:ascii="Calibri" w:hAnsi="Calibri" w:cs="Calibri"/>
                <w:b/>
                <w:lang w:bidi="ar-SA"/>
              </w:rPr>
            </w:pPr>
            <w:r w:rsidRPr="0062694C">
              <w:rPr>
                <w:rFonts w:ascii="Calibri" w:hAnsi="Calibri" w:cs="Calibri"/>
                <w:b/>
                <w:lang w:bidi="ar-SA"/>
              </w:rPr>
              <w:t>Tema/fagområde</w:t>
            </w:r>
            <w:r w:rsidR="003654DB">
              <w:rPr>
                <w:rFonts w:ascii="Calibri" w:hAnsi="Calibri" w:cs="Calibri"/>
                <w:b/>
                <w:lang w:bidi="ar-SA"/>
              </w:rPr>
              <w:t xml:space="preserve"> rådgivning</w:t>
            </w:r>
          </w:p>
        </w:tc>
        <w:tc>
          <w:tcPr>
            <w:tcW w:w="4110" w:type="dxa"/>
            <w:tcBorders>
              <w:top w:val="single" w:sz="4" w:space="0" w:color="A6A6A6"/>
              <w:left w:val="nil"/>
              <w:bottom w:val="single" w:sz="4" w:space="0" w:color="A6A6A6"/>
              <w:right w:val="single" w:sz="4" w:space="0" w:color="A6A6A6"/>
            </w:tcBorders>
            <w:shd w:val="clear" w:color="auto" w:fill="DDD9C3" w:themeFill="background2" w:themeFillShade="E6"/>
            <w:noWrap/>
          </w:tcPr>
          <w:p w14:paraId="7C8B4A81" w14:textId="700290DA" w:rsidR="00633D4B" w:rsidRPr="0062694C" w:rsidRDefault="00633D4B" w:rsidP="002E1E27">
            <w:pPr>
              <w:autoSpaceDE/>
              <w:autoSpaceDN/>
              <w:adjustRightInd/>
              <w:spacing w:after="0"/>
              <w:rPr>
                <w:rFonts w:ascii="Calibri" w:hAnsi="Calibri" w:cs="Calibri"/>
                <w:b/>
                <w:lang w:bidi="ar-SA"/>
              </w:rPr>
            </w:pPr>
            <w:r w:rsidRPr="0062694C">
              <w:rPr>
                <w:rFonts w:ascii="Calibri" w:hAnsi="Calibri" w:cs="Calibri"/>
                <w:b/>
                <w:lang w:bidi="ar-SA"/>
              </w:rPr>
              <w:t>Kommentar</w:t>
            </w:r>
          </w:p>
        </w:tc>
      </w:tr>
      <w:tr w:rsidR="002E1E27" w:rsidRPr="002E1E27" w14:paraId="12231579" w14:textId="77777777" w:rsidTr="00C96C76">
        <w:trPr>
          <w:trHeight w:val="376"/>
        </w:trPr>
        <w:tc>
          <w:tcPr>
            <w:tcW w:w="4957" w:type="dxa"/>
            <w:tcBorders>
              <w:top w:val="single" w:sz="4" w:space="0" w:color="A6A6A6"/>
              <w:left w:val="single" w:sz="4" w:space="0" w:color="A6A6A6"/>
              <w:bottom w:val="single" w:sz="4" w:space="0" w:color="A6A6A6"/>
              <w:right w:val="single" w:sz="4" w:space="0" w:color="A6A6A6"/>
            </w:tcBorders>
            <w:shd w:val="clear" w:color="auto" w:fill="auto"/>
          </w:tcPr>
          <w:p w14:paraId="08087834" w14:textId="7B2097BE" w:rsidR="002E1E27" w:rsidRPr="002E1E27" w:rsidRDefault="00037441" w:rsidP="002E1E27">
            <w:pPr>
              <w:autoSpaceDE/>
              <w:autoSpaceDN/>
              <w:adjustRightInd/>
              <w:spacing w:after="0"/>
              <w:rPr>
                <w:rFonts w:ascii="Calibri" w:hAnsi="Calibri" w:cs="Calibri"/>
                <w:lang w:bidi="ar-SA"/>
              </w:rPr>
            </w:pPr>
            <w:r>
              <w:rPr>
                <w:rFonts w:ascii="Calibri" w:hAnsi="Calibri" w:cs="Calibri"/>
                <w:lang w:bidi="ar-SA"/>
              </w:rPr>
              <w:t>Forstå og fortolke utlysninger</w:t>
            </w:r>
          </w:p>
        </w:tc>
        <w:tc>
          <w:tcPr>
            <w:tcW w:w="4110" w:type="dxa"/>
            <w:tcBorders>
              <w:top w:val="single" w:sz="4" w:space="0" w:color="A6A6A6"/>
              <w:left w:val="nil"/>
              <w:bottom w:val="single" w:sz="4" w:space="0" w:color="A6A6A6"/>
              <w:right w:val="single" w:sz="4" w:space="0" w:color="A6A6A6"/>
            </w:tcBorders>
            <w:shd w:val="clear" w:color="auto" w:fill="auto"/>
            <w:noWrap/>
            <w:hideMark/>
          </w:tcPr>
          <w:p w14:paraId="47F80D4D" w14:textId="77777777" w:rsidR="002E1E27" w:rsidRPr="002E1E27" w:rsidRDefault="002E1E27" w:rsidP="002E1E27">
            <w:pPr>
              <w:autoSpaceDE/>
              <w:autoSpaceDN/>
              <w:adjustRightInd/>
              <w:spacing w:after="0"/>
              <w:rPr>
                <w:rFonts w:ascii="Calibri" w:hAnsi="Calibri" w:cs="Calibri"/>
                <w:lang w:bidi="ar-SA"/>
              </w:rPr>
            </w:pPr>
            <w:r w:rsidRPr="002E1E27">
              <w:rPr>
                <w:rFonts w:ascii="Calibri" w:hAnsi="Calibri" w:cs="Calibri"/>
                <w:lang w:bidi="ar-SA"/>
              </w:rPr>
              <w:t> </w:t>
            </w:r>
          </w:p>
        </w:tc>
      </w:tr>
      <w:tr w:rsidR="00037441" w:rsidRPr="002E1E27" w14:paraId="7BAE2D25" w14:textId="77777777" w:rsidTr="003768F3">
        <w:trPr>
          <w:trHeight w:val="376"/>
        </w:trPr>
        <w:tc>
          <w:tcPr>
            <w:tcW w:w="4957" w:type="dxa"/>
            <w:tcBorders>
              <w:top w:val="single" w:sz="4" w:space="0" w:color="A6A6A6"/>
              <w:left w:val="single" w:sz="4" w:space="0" w:color="A6A6A6"/>
              <w:bottom w:val="single" w:sz="4" w:space="0" w:color="A6A6A6"/>
              <w:right w:val="single" w:sz="4" w:space="0" w:color="A6A6A6"/>
            </w:tcBorders>
            <w:shd w:val="clear" w:color="auto" w:fill="auto"/>
          </w:tcPr>
          <w:p w14:paraId="0471FE43" w14:textId="5931FECD" w:rsidR="00037441" w:rsidRPr="002E1E27" w:rsidRDefault="00037441" w:rsidP="00037441">
            <w:pPr>
              <w:autoSpaceDE/>
              <w:autoSpaceDN/>
              <w:adjustRightInd/>
              <w:spacing w:after="0"/>
              <w:rPr>
                <w:rFonts w:ascii="Calibri" w:hAnsi="Calibri" w:cs="Calibri"/>
                <w:lang w:bidi="ar-SA"/>
              </w:rPr>
            </w:pPr>
            <w:r w:rsidRPr="002E1E27">
              <w:rPr>
                <w:rFonts w:ascii="Calibri" w:hAnsi="Calibri" w:cs="Calibri"/>
                <w:lang w:bidi="ar-SA"/>
              </w:rPr>
              <w:t>Utforming av søknader – til norske finansiering kilde</w:t>
            </w:r>
          </w:p>
        </w:tc>
        <w:tc>
          <w:tcPr>
            <w:tcW w:w="4110" w:type="dxa"/>
            <w:tcBorders>
              <w:top w:val="single" w:sz="4" w:space="0" w:color="A6A6A6"/>
              <w:left w:val="nil"/>
              <w:bottom w:val="single" w:sz="4" w:space="0" w:color="A6A6A6"/>
              <w:right w:val="single" w:sz="4" w:space="0" w:color="A6A6A6"/>
            </w:tcBorders>
            <w:shd w:val="clear" w:color="auto" w:fill="auto"/>
            <w:noWrap/>
          </w:tcPr>
          <w:p w14:paraId="24340B9C" w14:textId="77777777" w:rsidR="00037441" w:rsidRPr="002E1E27" w:rsidRDefault="00037441" w:rsidP="00037441">
            <w:pPr>
              <w:autoSpaceDE/>
              <w:autoSpaceDN/>
              <w:adjustRightInd/>
              <w:spacing w:after="0"/>
              <w:rPr>
                <w:rFonts w:ascii="Calibri" w:hAnsi="Calibri" w:cs="Calibri"/>
                <w:lang w:bidi="ar-SA"/>
              </w:rPr>
            </w:pPr>
          </w:p>
        </w:tc>
      </w:tr>
      <w:tr w:rsidR="00037441" w:rsidRPr="002E1E27" w14:paraId="5B9897CA" w14:textId="77777777" w:rsidTr="005A1024">
        <w:trPr>
          <w:trHeight w:val="600"/>
        </w:trPr>
        <w:tc>
          <w:tcPr>
            <w:tcW w:w="4957" w:type="dxa"/>
            <w:tcBorders>
              <w:top w:val="nil"/>
              <w:left w:val="single" w:sz="4" w:space="0" w:color="A6A6A6"/>
              <w:bottom w:val="single" w:sz="4" w:space="0" w:color="A6A6A6"/>
              <w:right w:val="single" w:sz="4" w:space="0" w:color="A6A6A6"/>
            </w:tcBorders>
            <w:shd w:val="clear" w:color="auto" w:fill="auto"/>
            <w:hideMark/>
          </w:tcPr>
          <w:p w14:paraId="66FB75E8" w14:textId="77777777" w:rsidR="00037441" w:rsidRPr="002E1E27" w:rsidRDefault="00037441" w:rsidP="00037441">
            <w:pPr>
              <w:autoSpaceDE/>
              <w:autoSpaceDN/>
              <w:adjustRightInd/>
              <w:spacing w:after="0"/>
              <w:rPr>
                <w:rFonts w:ascii="Calibri" w:hAnsi="Calibri" w:cs="Calibri"/>
                <w:color w:val="548235"/>
                <w:lang w:bidi="ar-SA"/>
              </w:rPr>
            </w:pPr>
            <w:r w:rsidRPr="002E1E27">
              <w:rPr>
                <w:rFonts w:ascii="Calibri" w:hAnsi="Calibri" w:cs="Calibri"/>
                <w:color w:val="548235"/>
                <w:lang w:bidi="ar-SA"/>
              </w:rPr>
              <w:t>Utforming av søknader – til internasjonale finansieringskilder</w:t>
            </w:r>
          </w:p>
        </w:tc>
        <w:tc>
          <w:tcPr>
            <w:tcW w:w="4110" w:type="dxa"/>
            <w:tcBorders>
              <w:top w:val="nil"/>
              <w:left w:val="nil"/>
              <w:bottom w:val="single" w:sz="4" w:space="0" w:color="A6A6A6"/>
              <w:right w:val="single" w:sz="4" w:space="0" w:color="A6A6A6"/>
            </w:tcBorders>
            <w:shd w:val="clear" w:color="auto" w:fill="auto"/>
            <w:noWrap/>
            <w:hideMark/>
          </w:tcPr>
          <w:p w14:paraId="57E732E6" w14:textId="77777777" w:rsidR="00037441" w:rsidRPr="002E1E27" w:rsidRDefault="00037441" w:rsidP="00037441">
            <w:pPr>
              <w:autoSpaceDE/>
              <w:autoSpaceDN/>
              <w:adjustRightInd/>
              <w:spacing w:after="0"/>
              <w:rPr>
                <w:rFonts w:ascii="Calibri" w:hAnsi="Calibri" w:cs="Calibri"/>
                <w:lang w:bidi="ar-SA"/>
              </w:rPr>
            </w:pPr>
            <w:r w:rsidRPr="002E1E27">
              <w:rPr>
                <w:rFonts w:ascii="Calibri" w:hAnsi="Calibri" w:cs="Calibri"/>
                <w:lang w:bidi="ar-SA"/>
              </w:rPr>
              <w:t> </w:t>
            </w:r>
          </w:p>
        </w:tc>
      </w:tr>
      <w:tr w:rsidR="00037441" w:rsidRPr="002E1E27" w14:paraId="12C8496D" w14:textId="77777777" w:rsidTr="005A1024">
        <w:trPr>
          <w:trHeight w:val="600"/>
        </w:trPr>
        <w:tc>
          <w:tcPr>
            <w:tcW w:w="4957" w:type="dxa"/>
            <w:tcBorders>
              <w:top w:val="nil"/>
              <w:left w:val="single" w:sz="4" w:space="0" w:color="A6A6A6"/>
              <w:bottom w:val="single" w:sz="4" w:space="0" w:color="A6A6A6"/>
              <w:right w:val="single" w:sz="4" w:space="0" w:color="A6A6A6"/>
            </w:tcBorders>
            <w:shd w:val="clear" w:color="auto" w:fill="auto"/>
            <w:hideMark/>
          </w:tcPr>
          <w:p w14:paraId="0804125A" w14:textId="77777777" w:rsidR="00037441" w:rsidRPr="002E1E27" w:rsidRDefault="00037441" w:rsidP="00037441">
            <w:pPr>
              <w:autoSpaceDE/>
              <w:autoSpaceDN/>
              <w:adjustRightInd/>
              <w:spacing w:after="0"/>
              <w:rPr>
                <w:rFonts w:ascii="Calibri" w:hAnsi="Calibri" w:cs="Calibri"/>
                <w:lang w:bidi="ar-SA"/>
              </w:rPr>
            </w:pPr>
            <w:r w:rsidRPr="002E1E27">
              <w:rPr>
                <w:rFonts w:ascii="Calibri" w:hAnsi="Calibri" w:cs="Calibri"/>
                <w:lang w:bidi="ar-SA"/>
              </w:rPr>
              <w:t>Budsjettering av forskningsprosjekter/ økonomioppfølging</w:t>
            </w:r>
          </w:p>
        </w:tc>
        <w:tc>
          <w:tcPr>
            <w:tcW w:w="4110" w:type="dxa"/>
            <w:tcBorders>
              <w:top w:val="nil"/>
              <w:left w:val="nil"/>
              <w:bottom w:val="single" w:sz="4" w:space="0" w:color="A6A6A6"/>
              <w:right w:val="single" w:sz="4" w:space="0" w:color="A6A6A6"/>
            </w:tcBorders>
            <w:shd w:val="clear" w:color="auto" w:fill="auto"/>
            <w:noWrap/>
            <w:hideMark/>
          </w:tcPr>
          <w:p w14:paraId="1F40C4BD" w14:textId="77777777" w:rsidR="00037441" w:rsidRPr="002E1E27" w:rsidRDefault="00037441" w:rsidP="00037441">
            <w:pPr>
              <w:autoSpaceDE/>
              <w:autoSpaceDN/>
              <w:adjustRightInd/>
              <w:spacing w:after="0"/>
              <w:rPr>
                <w:rFonts w:ascii="Calibri" w:hAnsi="Calibri" w:cs="Calibri"/>
                <w:lang w:bidi="ar-SA"/>
              </w:rPr>
            </w:pPr>
            <w:r w:rsidRPr="002E1E27">
              <w:rPr>
                <w:rFonts w:ascii="Calibri" w:hAnsi="Calibri" w:cs="Calibri"/>
                <w:lang w:bidi="ar-SA"/>
              </w:rPr>
              <w:t> </w:t>
            </w:r>
          </w:p>
        </w:tc>
      </w:tr>
      <w:tr w:rsidR="00037441" w:rsidRPr="002E1E27" w14:paraId="512A9FA6" w14:textId="77777777" w:rsidTr="005A1024">
        <w:trPr>
          <w:trHeight w:val="600"/>
        </w:trPr>
        <w:tc>
          <w:tcPr>
            <w:tcW w:w="4957" w:type="dxa"/>
            <w:tcBorders>
              <w:top w:val="nil"/>
              <w:left w:val="single" w:sz="4" w:space="0" w:color="A6A6A6"/>
              <w:bottom w:val="single" w:sz="4" w:space="0" w:color="A6A6A6"/>
              <w:right w:val="single" w:sz="4" w:space="0" w:color="A6A6A6"/>
            </w:tcBorders>
            <w:shd w:val="clear" w:color="auto" w:fill="auto"/>
            <w:hideMark/>
          </w:tcPr>
          <w:p w14:paraId="28B58802" w14:textId="77777777" w:rsidR="00037441" w:rsidRPr="002E1E27" w:rsidRDefault="00037441" w:rsidP="00037441">
            <w:pPr>
              <w:autoSpaceDE/>
              <w:autoSpaceDN/>
              <w:adjustRightInd/>
              <w:spacing w:after="0"/>
              <w:rPr>
                <w:rFonts w:ascii="Calibri" w:hAnsi="Calibri" w:cs="Calibri"/>
                <w:lang w:bidi="ar-SA"/>
              </w:rPr>
            </w:pPr>
            <w:r w:rsidRPr="002E1E27">
              <w:rPr>
                <w:rFonts w:ascii="Calibri" w:hAnsi="Calibri" w:cs="Calibri"/>
                <w:lang w:bidi="ar-SA"/>
              </w:rPr>
              <w:t xml:space="preserve">Juridiske tjenester (utforming/gjennomgang av kontrakter, IPR, GDPR) - nasjonalt </w:t>
            </w:r>
          </w:p>
        </w:tc>
        <w:tc>
          <w:tcPr>
            <w:tcW w:w="4110" w:type="dxa"/>
            <w:tcBorders>
              <w:top w:val="nil"/>
              <w:left w:val="nil"/>
              <w:bottom w:val="single" w:sz="4" w:space="0" w:color="A6A6A6"/>
              <w:right w:val="single" w:sz="4" w:space="0" w:color="A6A6A6"/>
            </w:tcBorders>
            <w:shd w:val="clear" w:color="auto" w:fill="auto"/>
            <w:noWrap/>
            <w:hideMark/>
          </w:tcPr>
          <w:p w14:paraId="572F6B0C" w14:textId="77777777" w:rsidR="00037441" w:rsidRPr="002E1E27" w:rsidRDefault="00037441" w:rsidP="00037441">
            <w:pPr>
              <w:autoSpaceDE/>
              <w:autoSpaceDN/>
              <w:adjustRightInd/>
              <w:spacing w:after="0"/>
              <w:rPr>
                <w:rFonts w:ascii="Calibri" w:hAnsi="Calibri" w:cs="Calibri"/>
                <w:lang w:bidi="ar-SA"/>
              </w:rPr>
            </w:pPr>
            <w:r w:rsidRPr="002E1E27">
              <w:rPr>
                <w:rFonts w:ascii="Calibri" w:hAnsi="Calibri" w:cs="Calibri"/>
                <w:lang w:bidi="ar-SA"/>
              </w:rPr>
              <w:t> </w:t>
            </w:r>
          </w:p>
        </w:tc>
      </w:tr>
      <w:tr w:rsidR="00037441" w:rsidRPr="002E1E27" w14:paraId="5D554552" w14:textId="77777777" w:rsidTr="005A1024">
        <w:trPr>
          <w:trHeight w:val="600"/>
        </w:trPr>
        <w:tc>
          <w:tcPr>
            <w:tcW w:w="4957" w:type="dxa"/>
            <w:tcBorders>
              <w:top w:val="nil"/>
              <w:left w:val="single" w:sz="4" w:space="0" w:color="A6A6A6"/>
              <w:bottom w:val="single" w:sz="4" w:space="0" w:color="A6A6A6"/>
              <w:right w:val="single" w:sz="4" w:space="0" w:color="A6A6A6"/>
            </w:tcBorders>
            <w:shd w:val="clear" w:color="auto" w:fill="auto"/>
            <w:hideMark/>
          </w:tcPr>
          <w:p w14:paraId="6B3B798B" w14:textId="77777777" w:rsidR="00037441" w:rsidRPr="002E1E27" w:rsidRDefault="00037441" w:rsidP="00037441">
            <w:pPr>
              <w:autoSpaceDE/>
              <w:autoSpaceDN/>
              <w:adjustRightInd/>
              <w:spacing w:after="0"/>
              <w:rPr>
                <w:rFonts w:ascii="Calibri" w:hAnsi="Calibri" w:cs="Calibri"/>
                <w:color w:val="548235"/>
                <w:lang w:bidi="ar-SA"/>
              </w:rPr>
            </w:pPr>
            <w:r w:rsidRPr="002E1E27">
              <w:rPr>
                <w:rFonts w:ascii="Calibri" w:hAnsi="Calibri" w:cs="Calibri"/>
                <w:color w:val="548235"/>
                <w:lang w:bidi="ar-SA"/>
              </w:rPr>
              <w:t xml:space="preserve">Juridiske tjenester (utforming/gjennomgang av kontrakter, IPR, GDPR) - internasjonalt </w:t>
            </w:r>
          </w:p>
        </w:tc>
        <w:tc>
          <w:tcPr>
            <w:tcW w:w="4110" w:type="dxa"/>
            <w:tcBorders>
              <w:top w:val="nil"/>
              <w:left w:val="nil"/>
              <w:bottom w:val="single" w:sz="4" w:space="0" w:color="A6A6A6"/>
              <w:right w:val="single" w:sz="4" w:space="0" w:color="A6A6A6"/>
            </w:tcBorders>
            <w:shd w:val="clear" w:color="auto" w:fill="auto"/>
            <w:noWrap/>
            <w:hideMark/>
          </w:tcPr>
          <w:p w14:paraId="63B2CC52" w14:textId="77777777" w:rsidR="00037441" w:rsidRPr="002E1E27" w:rsidRDefault="00037441" w:rsidP="00037441">
            <w:pPr>
              <w:autoSpaceDE/>
              <w:autoSpaceDN/>
              <w:adjustRightInd/>
              <w:spacing w:after="0"/>
              <w:rPr>
                <w:rFonts w:ascii="Calibri" w:hAnsi="Calibri" w:cs="Calibri"/>
                <w:lang w:bidi="ar-SA"/>
              </w:rPr>
            </w:pPr>
            <w:r w:rsidRPr="002E1E27">
              <w:rPr>
                <w:rFonts w:ascii="Calibri" w:hAnsi="Calibri" w:cs="Calibri"/>
                <w:lang w:bidi="ar-SA"/>
              </w:rPr>
              <w:t> </w:t>
            </w:r>
          </w:p>
        </w:tc>
      </w:tr>
      <w:tr w:rsidR="00037441" w:rsidRPr="002E1E27" w14:paraId="3AE81128" w14:textId="77777777" w:rsidTr="005A1024">
        <w:trPr>
          <w:trHeight w:val="300"/>
        </w:trPr>
        <w:tc>
          <w:tcPr>
            <w:tcW w:w="4957" w:type="dxa"/>
            <w:tcBorders>
              <w:top w:val="nil"/>
              <w:left w:val="single" w:sz="4" w:space="0" w:color="A6A6A6"/>
              <w:bottom w:val="single" w:sz="4" w:space="0" w:color="A6A6A6"/>
              <w:right w:val="single" w:sz="4" w:space="0" w:color="A6A6A6"/>
            </w:tcBorders>
            <w:shd w:val="clear" w:color="auto" w:fill="auto"/>
            <w:hideMark/>
          </w:tcPr>
          <w:p w14:paraId="2B514B55" w14:textId="77777777" w:rsidR="00037441" w:rsidRPr="002E1E27" w:rsidRDefault="00037441" w:rsidP="00037441">
            <w:pPr>
              <w:autoSpaceDE/>
              <w:autoSpaceDN/>
              <w:adjustRightInd/>
              <w:spacing w:after="0"/>
              <w:rPr>
                <w:rFonts w:ascii="Calibri" w:hAnsi="Calibri" w:cs="Calibri"/>
                <w:lang w:bidi="ar-SA"/>
              </w:rPr>
            </w:pPr>
            <w:r w:rsidRPr="002E1E27">
              <w:rPr>
                <w:rFonts w:ascii="Calibri" w:hAnsi="Calibri" w:cs="Calibri"/>
                <w:lang w:bidi="ar-SA"/>
              </w:rPr>
              <w:t>Brukermedvirkning i forskning</w:t>
            </w:r>
          </w:p>
        </w:tc>
        <w:tc>
          <w:tcPr>
            <w:tcW w:w="4110" w:type="dxa"/>
            <w:tcBorders>
              <w:top w:val="nil"/>
              <w:left w:val="nil"/>
              <w:bottom w:val="single" w:sz="4" w:space="0" w:color="A6A6A6"/>
              <w:right w:val="single" w:sz="4" w:space="0" w:color="A6A6A6"/>
            </w:tcBorders>
            <w:shd w:val="clear" w:color="auto" w:fill="auto"/>
            <w:noWrap/>
            <w:hideMark/>
          </w:tcPr>
          <w:p w14:paraId="68C3CEF9" w14:textId="77777777" w:rsidR="00037441" w:rsidRPr="002E1E27" w:rsidRDefault="00037441" w:rsidP="00037441">
            <w:pPr>
              <w:autoSpaceDE/>
              <w:autoSpaceDN/>
              <w:adjustRightInd/>
              <w:spacing w:after="0"/>
              <w:rPr>
                <w:rFonts w:ascii="Calibri" w:hAnsi="Calibri" w:cs="Calibri"/>
                <w:lang w:bidi="ar-SA"/>
              </w:rPr>
            </w:pPr>
            <w:r w:rsidRPr="002E1E27">
              <w:rPr>
                <w:rFonts w:ascii="Calibri" w:hAnsi="Calibri" w:cs="Calibri"/>
                <w:lang w:bidi="ar-SA"/>
              </w:rPr>
              <w:t> </w:t>
            </w:r>
          </w:p>
        </w:tc>
      </w:tr>
      <w:tr w:rsidR="00037441" w:rsidRPr="002E1E27" w14:paraId="71A71ADB" w14:textId="77777777" w:rsidTr="00D64707">
        <w:trPr>
          <w:trHeight w:val="987"/>
        </w:trPr>
        <w:tc>
          <w:tcPr>
            <w:tcW w:w="4957" w:type="dxa"/>
            <w:tcBorders>
              <w:top w:val="nil"/>
              <w:left w:val="single" w:sz="4" w:space="0" w:color="A6A6A6"/>
              <w:bottom w:val="single" w:sz="4" w:space="0" w:color="A6A6A6"/>
              <w:right w:val="single" w:sz="4" w:space="0" w:color="A6A6A6"/>
            </w:tcBorders>
            <w:shd w:val="clear" w:color="auto" w:fill="auto"/>
            <w:hideMark/>
          </w:tcPr>
          <w:p w14:paraId="73E6F82E" w14:textId="77777777" w:rsidR="00037441" w:rsidRPr="002E1E27" w:rsidRDefault="00037441" w:rsidP="00037441">
            <w:pPr>
              <w:autoSpaceDE/>
              <w:autoSpaceDN/>
              <w:adjustRightInd/>
              <w:spacing w:after="0"/>
              <w:rPr>
                <w:rFonts w:ascii="Calibri" w:hAnsi="Calibri" w:cs="Calibri"/>
                <w:lang w:bidi="ar-SA"/>
              </w:rPr>
            </w:pPr>
            <w:r w:rsidRPr="002E1E27">
              <w:rPr>
                <w:rFonts w:ascii="Calibri" w:hAnsi="Calibri" w:cs="Calibri"/>
                <w:lang w:bidi="ar-SA"/>
              </w:rPr>
              <w:t>Gjennomføring av en klinisk studie med legemiddel - design, regulatoriske krav, logistikk, håndtering av studiemedisin, lab, helseøkonomi, PROM</w:t>
            </w:r>
          </w:p>
        </w:tc>
        <w:tc>
          <w:tcPr>
            <w:tcW w:w="4110" w:type="dxa"/>
            <w:tcBorders>
              <w:top w:val="nil"/>
              <w:left w:val="nil"/>
              <w:bottom w:val="single" w:sz="4" w:space="0" w:color="A6A6A6"/>
              <w:right w:val="single" w:sz="4" w:space="0" w:color="A6A6A6"/>
            </w:tcBorders>
            <w:shd w:val="clear" w:color="auto" w:fill="auto"/>
            <w:noWrap/>
            <w:hideMark/>
          </w:tcPr>
          <w:p w14:paraId="7ECBF5F1" w14:textId="77777777" w:rsidR="00037441" w:rsidRPr="002E1E27" w:rsidRDefault="00037441" w:rsidP="00037441">
            <w:pPr>
              <w:autoSpaceDE/>
              <w:autoSpaceDN/>
              <w:adjustRightInd/>
              <w:spacing w:after="0"/>
              <w:rPr>
                <w:rFonts w:ascii="Calibri" w:hAnsi="Calibri" w:cs="Calibri"/>
                <w:lang w:bidi="ar-SA"/>
              </w:rPr>
            </w:pPr>
            <w:r w:rsidRPr="002E1E27">
              <w:rPr>
                <w:rFonts w:ascii="Calibri" w:hAnsi="Calibri" w:cs="Calibri"/>
                <w:lang w:bidi="ar-SA"/>
              </w:rPr>
              <w:t> </w:t>
            </w:r>
          </w:p>
        </w:tc>
      </w:tr>
      <w:tr w:rsidR="00037441" w:rsidRPr="002E1E27" w14:paraId="46539C96" w14:textId="77777777" w:rsidTr="00D64707">
        <w:trPr>
          <w:trHeight w:val="1202"/>
        </w:trPr>
        <w:tc>
          <w:tcPr>
            <w:tcW w:w="4957" w:type="dxa"/>
            <w:tcBorders>
              <w:top w:val="nil"/>
              <w:left w:val="single" w:sz="4" w:space="0" w:color="A6A6A6"/>
              <w:bottom w:val="single" w:sz="4" w:space="0" w:color="A6A6A6"/>
              <w:right w:val="single" w:sz="4" w:space="0" w:color="A6A6A6"/>
            </w:tcBorders>
            <w:shd w:val="clear" w:color="auto" w:fill="auto"/>
            <w:hideMark/>
          </w:tcPr>
          <w:p w14:paraId="32BE2A96" w14:textId="77777777" w:rsidR="00037441" w:rsidRPr="002E1E27" w:rsidRDefault="00037441" w:rsidP="00037441">
            <w:pPr>
              <w:autoSpaceDE/>
              <w:autoSpaceDN/>
              <w:adjustRightInd/>
              <w:spacing w:after="0"/>
              <w:rPr>
                <w:rFonts w:ascii="Calibri" w:hAnsi="Calibri" w:cs="Calibri"/>
                <w:lang w:bidi="ar-SA"/>
              </w:rPr>
            </w:pPr>
            <w:r w:rsidRPr="002E1E27">
              <w:rPr>
                <w:rFonts w:ascii="Calibri" w:hAnsi="Calibri" w:cs="Calibri"/>
                <w:lang w:bidi="ar-SA"/>
              </w:rPr>
              <w:t>Gjennomføring av en klinisk studie med medisinsk utstyr - design, regulatoriske krav, logistikk, håndtering av utsyr, sikkerhetsrapportering, rapportering av utstyrsfeil, lab, helseøkonomi, PROM</w:t>
            </w:r>
          </w:p>
        </w:tc>
        <w:tc>
          <w:tcPr>
            <w:tcW w:w="4110" w:type="dxa"/>
            <w:tcBorders>
              <w:top w:val="nil"/>
              <w:left w:val="nil"/>
              <w:bottom w:val="single" w:sz="4" w:space="0" w:color="A6A6A6"/>
              <w:right w:val="single" w:sz="4" w:space="0" w:color="A6A6A6"/>
            </w:tcBorders>
            <w:shd w:val="clear" w:color="auto" w:fill="auto"/>
            <w:noWrap/>
            <w:hideMark/>
          </w:tcPr>
          <w:p w14:paraId="44748D0A" w14:textId="77777777" w:rsidR="00037441" w:rsidRPr="002E1E27" w:rsidRDefault="00037441" w:rsidP="00037441">
            <w:pPr>
              <w:autoSpaceDE/>
              <w:autoSpaceDN/>
              <w:adjustRightInd/>
              <w:spacing w:after="0"/>
              <w:rPr>
                <w:rFonts w:ascii="Calibri" w:hAnsi="Calibri" w:cs="Calibri"/>
                <w:lang w:bidi="ar-SA"/>
              </w:rPr>
            </w:pPr>
            <w:r w:rsidRPr="002E1E27">
              <w:rPr>
                <w:rFonts w:ascii="Calibri" w:hAnsi="Calibri" w:cs="Calibri"/>
                <w:lang w:bidi="ar-SA"/>
              </w:rPr>
              <w:t> </w:t>
            </w:r>
          </w:p>
        </w:tc>
      </w:tr>
      <w:tr w:rsidR="00037441" w:rsidRPr="002E1E27" w14:paraId="2336EB57" w14:textId="77777777" w:rsidTr="00D64707">
        <w:trPr>
          <w:trHeight w:val="905"/>
        </w:trPr>
        <w:tc>
          <w:tcPr>
            <w:tcW w:w="4957" w:type="dxa"/>
            <w:tcBorders>
              <w:top w:val="nil"/>
              <w:left w:val="single" w:sz="4" w:space="0" w:color="A6A6A6"/>
              <w:bottom w:val="single" w:sz="4" w:space="0" w:color="A6A6A6"/>
              <w:right w:val="single" w:sz="4" w:space="0" w:color="A6A6A6"/>
            </w:tcBorders>
            <w:shd w:val="clear" w:color="auto" w:fill="auto"/>
            <w:hideMark/>
          </w:tcPr>
          <w:p w14:paraId="10AB0C2C" w14:textId="77777777" w:rsidR="00037441" w:rsidRPr="002E1E27" w:rsidRDefault="00037441" w:rsidP="00037441">
            <w:pPr>
              <w:autoSpaceDE/>
              <w:autoSpaceDN/>
              <w:adjustRightInd/>
              <w:spacing w:after="0"/>
              <w:rPr>
                <w:rFonts w:ascii="Calibri" w:hAnsi="Calibri" w:cs="Calibri"/>
                <w:lang w:bidi="ar-SA"/>
              </w:rPr>
            </w:pPr>
            <w:r w:rsidRPr="002E1E27">
              <w:rPr>
                <w:rFonts w:ascii="Calibri" w:hAnsi="Calibri" w:cs="Calibri"/>
                <w:lang w:bidi="ar-SA"/>
              </w:rPr>
              <w:t>Gjennomføring av en klinisk studie med «annen intervensjon» - design, regulatoriske krav, logistikk, sikkerhetsrapportering, lab, helseøkonomi, PROM</w:t>
            </w:r>
          </w:p>
        </w:tc>
        <w:tc>
          <w:tcPr>
            <w:tcW w:w="4110" w:type="dxa"/>
            <w:tcBorders>
              <w:top w:val="nil"/>
              <w:left w:val="nil"/>
              <w:bottom w:val="single" w:sz="4" w:space="0" w:color="A6A6A6"/>
              <w:right w:val="single" w:sz="4" w:space="0" w:color="A6A6A6"/>
            </w:tcBorders>
            <w:shd w:val="clear" w:color="auto" w:fill="auto"/>
            <w:noWrap/>
            <w:hideMark/>
          </w:tcPr>
          <w:p w14:paraId="0CFEBA1F" w14:textId="77777777" w:rsidR="00037441" w:rsidRPr="002E1E27" w:rsidRDefault="00037441" w:rsidP="00037441">
            <w:pPr>
              <w:autoSpaceDE/>
              <w:autoSpaceDN/>
              <w:adjustRightInd/>
              <w:spacing w:after="0"/>
              <w:rPr>
                <w:rFonts w:ascii="Calibri" w:hAnsi="Calibri" w:cs="Calibri"/>
                <w:lang w:bidi="ar-SA"/>
              </w:rPr>
            </w:pPr>
            <w:r w:rsidRPr="002E1E27">
              <w:rPr>
                <w:rFonts w:ascii="Calibri" w:hAnsi="Calibri" w:cs="Calibri"/>
                <w:lang w:bidi="ar-SA"/>
              </w:rPr>
              <w:t> </w:t>
            </w:r>
          </w:p>
        </w:tc>
      </w:tr>
      <w:tr w:rsidR="00037441" w:rsidRPr="002E1E27" w14:paraId="5DCCFAEA" w14:textId="77777777" w:rsidTr="00D64707">
        <w:trPr>
          <w:trHeight w:val="280"/>
        </w:trPr>
        <w:tc>
          <w:tcPr>
            <w:tcW w:w="4957" w:type="dxa"/>
            <w:tcBorders>
              <w:top w:val="nil"/>
              <w:left w:val="single" w:sz="4" w:space="0" w:color="A6A6A6"/>
              <w:bottom w:val="single" w:sz="4" w:space="0" w:color="A6A6A6"/>
              <w:right w:val="single" w:sz="4" w:space="0" w:color="A6A6A6"/>
            </w:tcBorders>
            <w:shd w:val="clear" w:color="auto" w:fill="auto"/>
            <w:hideMark/>
          </w:tcPr>
          <w:p w14:paraId="0CEF254D" w14:textId="4910AE4E" w:rsidR="00037441" w:rsidRPr="002E1E27" w:rsidRDefault="00037441" w:rsidP="00037441">
            <w:pPr>
              <w:autoSpaceDE/>
              <w:autoSpaceDN/>
              <w:adjustRightInd/>
              <w:spacing w:after="0"/>
              <w:rPr>
                <w:rFonts w:ascii="Calibri" w:hAnsi="Calibri" w:cs="Calibri"/>
                <w:lang w:bidi="ar-SA"/>
              </w:rPr>
            </w:pPr>
            <w:r w:rsidRPr="002E1E27">
              <w:rPr>
                <w:rFonts w:ascii="Calibri" w:hAnsi="Calibri" w:cs="Calibri"/>
                <w:lang w:bidi="ar-SA"/>
              </w:rPr>
              <w:t xml:space="preserve">Rådgivning </w:t>
            </w:r>
            <w:proofErr w:type="gramStart"/>
            <w:r w:rsidRPr="002E1E27">
              <w:rPr>
                <w:rFonts w:ascii="Calibri" w:hAnsi="Calibri" w:cs="Calibri"/>
                <w:lang w:bidi="ar-SA"/>
              </w:rPr>
              <w:t>i forhold til</w:t>
            </w:r>
            <w:proofErr w:type="gramEnd"/>
            <w:r w:rsidRPr="002E1E27">
              <w:rPr>
                <w:rFonts w:ascii="Calibri" w:hAnsi="Calibri" w:cs="Calibri"/>
                <w:lang w:bidi="ar-SA"/>
              </w:rPr>
              <w:t xml:space="preserve"> </w:t>
            </w:r>
            <w:r>
              <w:rPr>
                <w:rFonts w:ascii="Calibri" w:hAnsi="Calibri" w:cs="Calibri"/>
                <w:lang w:bidi="ar-SA"/>
              </w:rPr>
              <w:t xml:space="preserve">å </w:t>
            </w:r>
            <w:r w:rsidRPr="002E1E27">
              <w:rPr>
                <w:rFonts w:ascii="Calibri" w:hAnsi="Calibri" w:cs="Calibri"/>
                <w:lang w:bidi="ar-SA"/>
              </w:rPr>
              <w:t>etablere en biobank</w:t>
            </w:r>
          </w:p>
        </w:tc>
        <w:tc>
          <w:tcPr>
            <w:tcW w:w="4110" w:type="dxa"/>
            <w:tcBorders>
              <w:top w:val="nil"/>
              <w:left w:val="nil"/>
              <w:bottom w:val="single" w:sz="4" w:space="0" w:color="A6A6A6"/>
              <w:right w:val="single" w:sz="4" w:space="0" w:color="A6A6A6"/>
            </w:tcBorders>
            <w:shd w:val="clear" w:color="auto" w:fill="auto"/>
            <w:noWrap/>
            <w:hideMark/>
          </w:tcPr>
          <w:p w14:paraId="4D76B365" w14:textId="77777777" w:rsidR="00037441" w:rsidRPr="002E1E27" w:rsidRDefault="00037441" w:rsidP="00037441">
            <w:pPr>
              <w:autoSpaceDE/>
              <w:autoSpaceDN/>
              <w:adjustRightInd/>
              <w:spacing w:after="0"/>
              <w:rPr>
                <w:rFonts w:ascii="Calibri" w:hAnsi="Calibri" w:cs="Calibri"/>
                <w:lang w:bidi="ar-SA"/>
              </w:rPr>
            </w:pPr>
            <w:r w:rsidRPr="002E1E27">
              <w:rPr>
                <w:rFonts w:ascii="Calibri" w:hAnsi="Calibri" w:cs="Calibri"/>
                <w:lang w:bidi="ar-SA"/>
              </w:rPr>
              <w:t> </w:t>
            </w:r>
          </w:p>
        </w:tc>
      </w:tr>
      <w:tr w:rsidR="00037441" w:rsidRPr="002E1E27" w14:paraId="23C085F1" w14:textId="77777777" w:rsidTr="00D64707">
        <w:trPr>
          <w:trHeight w:val="300"/>
        </w:trPr>
        <w:tc>
          <w:tcPr>
            <w:tcW w:w="4957" w:type="dxa"/>
            <w:tcBorders>
              <w:top w:val="nil"/>
              <w:left w:val="single" w:sz="4" w:space="0" w:color="A6A6A6"/>
              <w:bottom w:val="nil"/>
              <w:right w:val="single" w:sz="4" w:space="0" w:color="A6A6A6"/>
            </w:tcBorders>
            <w:shd w:val="clear" w:color="auto" w:fill="auto"/>
            <w:hideMark/>
          </w:tcPr>
          <w:p w14:paraId="1BC2B8F4" w14:textId="4B257F86" w:rsidR="00037441" w:rsidRPr="002E1E27" w:rsidRDefault="00037441" w:rsidP="00037441">
            <w:pPr>
              <w:autoSpaceDE/>
              <w:autoSpaceDN/>
              <w:adjustRightInd/>
              <w:spacing w:after="0"/>
              <w:rPr>
                <w:rFonts w:ascii="Calibri" w:hAnsi="Calibri" w:cs="Calibri"/>
                <w:lang w:bidi="ar-SA"/>
              </w:rPr>
            </w:pPr>
            <w:r w:rsidRPr="002E1E27">
              <w:rPr>
                <w:rFonts w:ascii="Calibri" w:hAnsi="Calibri" w:cs="Calibri"/>
                <w:lang w:bidi="ar-SA"/>
              </w:rPr>
              <w:t>Bruk av registre til forskning</w:t>
            </w:r>
            <w:r>
              <w:rPr>
                <w:rFonts w:ascii="Calibri" w:hAnsi="Calibri" w:cs="Calibri"/>
                <w:lang w:bidi="ar-SA"/>
              </w:rPr>
              <w:t>; oppsett av nye eller uttrekk fra eksisterende</w:t>
            </w:r>
          </w:p>
        </w:tc>
        <w:tc>
          <w:tcPr>
            <w:tcW w:w="4110" w:type="dxa"/>
            <w:tcBorders>
              <w:top w:val="nil"/>
              <w:left w:val="nil"/>
              <w:bottom w:val="nil"/>
              <w:right w:val="single" w:sz="4" w:space="0" w:color="A6A6A6"/>
            </w:tcBorders>
            <w:shd w:val="clear" w:color="auto" w:fill="auto"/>
            <w:noWrap/>
            <w:hideMark/>
          </w:tcPr>
          <w:p w14:paraId="183E293B" w14:textId="77777777" w:rsidR="00037441" w:rsidRPr="002E1E27" w:rsidRDefault="00037441" w:rsidP="00037441">
            <w:pPr>
              <w:autoSpaceDE/>
              <w:autoSpaceDN/>
              <w:adjustRightInd/>
              <w:spacing w:after="0"/>
              <w:rPr>
                <w:rFonts w:ascii="Calibri" w:hAnsi="Calibri" w:cs="Calibri"/>
                <w:lang w:bidi="ar-SA"/>
              </w:rPr>
            </w:pPr>
            <w:r w:rsidRPr="002E1E27">
              <w:rPr>
                <w:rFonts w:ascii="Calibri" w:hAnsi="Calibri" w:cs="Calibri"/>
                <w:lang w:bidi="ar-SA"/>
              </w:rPr>
              <w:t> </w:t>
            </w:r>
          </w:p>
        </w:tc>
      </w:tr>
      <w:tr w:rsidR="00037441" w:rsidRPr="002E1E27" w14:paraId="5BF87228" w14:textId="77777777" w:rsidTr="00397C68">
        <w:trPr>
          <w:trHeight w:val="300"/>
        </w:trPr>
        <w:tc>
          <w:tcPr>
            <w:tcW w:w="4957" w:type="dxa"/>
            <w:tcBorders>
              <w:top w:val="nil"/>
              <w:left w:val="single" w:sz="4" w:space="0" w:color="A6A6A6"/>
              <w:bottom w:val="nil"/>
              <w:right w:val="single" w:sz="4" w:space="0" w:color="A6A6A6"/>
            </w:tcBorders>
            <w:shd w:val="clear" w:color="auto" w:fill="auto"/>
          </w:tcPr>
          <w:p w14:paraId="73168523" w14:textId="7D2172C0" w:rsidR="00037441" w:rsidRPr="002E1E27" w:rsidRDefault="00037441" w:rsidP="00037441">
            <w:pPr>
              <w:autoSpaceDE/>
              <w:autoSpaceDN/>
              <w:adjustRightInd/>
              <w:spacing w:after="0"/>
              <w:rPr>
                <w:rFonts w:ascii="Calibri" w:hAnsi="Calibri" w:cs="Calibri"/>
                <w:lang w:bidi="ar-SA"/>
              </w:rPr>
            </w:pPr>
            <w:r>
              <w:rPr>
                <w:rFonts w:ascii="Calibri" w:hAnsi="Calibri" w:cs="Calibri"/>
                <w:lang w:bidi="ar-SA"/>
              </w:rPr>
              <w:t>Rådgivning på bruk av datavarehus, integrasjon av data fra ulike datakilder</w:t>
            </w:r>
          </w:p>
        </w:tc>
        <w:tc>
          <w:tcPr>
            <w:tcW w:w="4110" w:type="dxa"/>
            <w:tcBorders>
              <w:top w:val="nil"/>
              <w:left w:val="nil"/>
              <w:bottom w:val="nil"/>
              <w:right w:val="single" w:sz="4" w:space="0" w:color="A6A6A6"/>
            </w:tcBorders>
            <w:shd w:val="clear" w:color="auto" w:fill="auto"/>
            <w:noWrap/>
          </w:tcPr>
          <w:p w14:paraId="41FE831B" w14:textId="77777777" w:rsidR="00037441" w:rsidRPr="002E1E27" w:rsidRDefault="00037441" w:rsidP="00037441">
            <w:pPr>
              <w:autoSpaceDE/>
              <w:autoSpaceDN/>
              <w:adjustRightInd/>
              <w:spacing w:after="0"/>
              <w:rPr>
                <w:rFonts w:ascii="Calibri" w:hAnsi="Calibri" w:cs="Calibri"/>
                <w:lang w:bidi="ar-SA"/>
              </w:rPr>
            </w:pPr>
          </w:p>
        </w:tc>
      </w:tr>
      <w:tr w:rsidR="00397C68" w:rsidRPr="002E1E27" w14:paraId="140D0075" w14:textId="77777777" w:rsidTr="005A1024">
        <w:trPr>
          <w:trHeight w:val="300"/>
        </w:trPr>
        <w:tc>
          <w:tcPr>
            <w:tcW w:w="4957" w:type="dxa"/>
            <w:tcBorders>
              <w:top w:val="nil"/>
              <w:left w:val="single" w:sz="4" w:space="0" w:color="A6A6A6"/>
              <w:bottom w:val="single" w:sz="4" w:space="0" w:color="A6A6A6"/>
              <w:right w:val="single" w:sz="4" w:space="0" w:color="A6A6A6"/>
            </w:tcBorders>
            <w:shd w:val="clear" w:color="auto" w:fill="auto"/>
          </w:tcPr>
          <w:p w14:paraId="587A847E" w14:textId="72AF9D67" w:rsidR="00397C68" w:rsidRDefault="00397C68" w:rsidP="00037441">
            <w:pPr>
              <w:autoSpaceDE/>
              <w:autoSpaceDN/>
              <w:adjustRightInd/>
              <w:spacing w:after="0"/>
              <w:rPr>
                <w:rFonts w:ascii="Calibri" w:hAnsi="Calibri" w:cs="Calibri"/>
                <w:lang w:bidi="ar-SA"/>
              </w:rPr>
            </w:pPr>
            <w:r>
              <w:rPr>
                <w:rFonts w:ascii="Calibri" w:hAnsi="Calibri" w:cs="Calibri"/>
                <w:lang w:bidi="ar-SA"/>
              </w:rPr>
              <w:t>Prosjektledelse</w:t>
            </w:r>
          </w:p>
        </w:tc>
        <w:tc>
          <w:tcPr>
            <w:tcW w:w="4110" w:type="dxa"/>
            <w:tcBorders>
              <w:top w:val="nil"/>
              <w:left w:val="nil"/>
              <w:bottom w:val="single" w:sz="4" w:space="0" w:color="A6A6A6"/>
              <w:right w:val="single" w:sz="4" w:space="0" w:color="A6A6A6"/>
            </w:tcBorders>
            <w:shd w:val="clear" w:color="auto" w:fill="auto"/>
            <w:noWrap/>
          </w:tcPr>
          <w:p w14:paraId="6F39B621" w14:textId="77777777" w:rsidR="00397C68" w:rsidRPr="002E1E27" w:rsidRDefault="00397C68" w:rsidP="00037441">
            <w:pPr>
              <w:autoSpaceDE/>
              <w:autoSpaceDN/>
              <w:adjustRightInd/>
              <w:spacing w:after="0"/>
              <w:rPr>
                <w:rFonts w:ascii="Calibri" w:hAnsi="Calibri" w:cs="Calibri"/>
                <w:lang w:bidi="ar-SA"/>
              </w:rPr>
            </w:pPr>
          </w:p>
        </w:tc>
      </w:tr>
    </w:tbl>
    <w:p w14:paraId="43DC7AB9" w14:textId="5E7301BF" w:rsidR="003F4A6A" w:rsidRPr="0049770D" w:rsidRDefault="003F4A6A" w:rsidP="003F4A6A">
      <w:pPr>
        <w:autoSpaceDE/>
        <w:autoSpaceDN/>
        <w:adjustRightInd/>
        <w:spacing w:after="0"/>
        <w:rPr>
          <w:rFonts w:ascii="Calibri" w:hAnsi="Calibri" w:cs="Calibri"/>
          <w:b/>
          <w:color w:val="auto"/>
          <w:lang w:bidi="ar-SA"/>
        </w:rPr>
      </w:pPr>
      <w:r>
        <w:rPr>
          <w:rFonts w:ascii="Calibri" w:hAnsi="Calibri" w:cs="Calibri"/>
          <w:b/>
          <w:color w:val="auto"/>
          <w:lang w:bidi="ar-SA"/>
        </w:rPr>
        <w:t>Tabell 2</w:t>
      </w:r>
      <w:r w:rsidRPr="0049770D">
        <w:rPr>
          <w:rFonts w:ascii="Calibri" w:hAnsi="Calibri" w:cs="Calibri"/>
          <w:b/>
          <w:color w:val="auto"/>
          <w:lang w:bidi="ar-SA"/>
        </w:rPr>
        <w:t xml:space="preserve">: </w:t>
      </w:r>
      <w:r>
        <w:rPr>
          <w:rFonts w:ascii="Calibri" w:hAnsi="Calibri" w:cs="Calibri"/>
          <w:b/>
          <w:color w:val="auto"/>
          <w:lang w:bidi="ar-SA"/>
        </w:rPr>
        <w:t>Fagområder for rådgivning fra forskningsstøtte</w:t>
      </w:r>
    </w:p>
    <w:p w14:paraId="0E9367EA" w14:textId="4424FDF9" w:rsidR="002E1E27" w:rsidRDefault="002E1E27" w:rsidP="003C7351">
      <w:pPr>
        <w:contextualSpacing/>
        <w:rPr>
          <w:rFonts w:cs="Arial"/>
        </w:rPr>
      </w:pPr>
    </w:p>
    <w:p w14:paraId="5A3023EE" w14:textId="30C99767" w:rsidR="002E1E27" w:rsidRDefault="002E1E27" w:rsidP="003C7351">
      <w:pPr>
        <w:contextualSpacing/>
        <w:rPr>
          <w:rFonts w:cs="Arial"/>
        </w:rPr>
      </w:pPr>
    </w:p>
    <w:p w14:paraId="40C20D1B" w14:textId="50C36B59" w:rsidR="002E1E27" w:rsidRDefault="002E1E27" w:rsidP="003C7351">
      <w:pPr>
        <w:contextualSpacing/>
        <w:rPr>
          <w:rFonts w:cs="Arial"/>
        </w:rPr>
      </w:pPr>
    </w:p>
    <w:p w14:paraId="78C7A10B" w14:textId="2C416EBB" w:rsidR="002E1E27" w:rsidRDefault="002E1E27" w:rsidP="003C7351">
      <w:pPr>
        <w:contextualSpacing/>
        <w:rPr>
          <w:rFonts w:cs="Arial"/>
        </w:rPr>
      </w:pPr>
      <w:r w:rsidRPr="003768F3">
        <w:rPr>
          <w:rFonts w:cs="Arial"/>
          <w:b/>
        </w:rPr>
        <w:t>Praktisk bistand i gjennomføring av en klinisk utprøvning</w:t>
      </w:r>
      <w:r w:rsidR="003768F3">
        <w:rPr>
          <w:rFonts w:cs="Arial"/>
        </w:rPr>
        <w:t>:</w:t>
      </w:r>
    </w:p>
    <w:tbl>
      <w:tblPr>
        <w:tblW w:w="9067" w:type="dxa"/>
        <w:tblCellMar>
          <w:left w:w="70" w:type="dxa"/>
          <w:right w:w="70" w:type="dxa"/>
        </w:tblCellMar>
        <w:tblLook w:val="04A0" w:firstRow="1" w:lastRow="0" w:firstColumn="1" w:lastColumn="0" w:noHBand="0" w:noVBand="1"/>
      </w:tblPr>
      <w:tblGrid>
        <w:gridCol w:w="4957"/>
        <w:gridCol w:w="4110"/>
      </w:tblGrid>
      <w:tr w:rsidR="00633D4B" w:rsidRPr="002E1E27" w14:paraId="1C0C8B14" w14:textId="77777777" w:rsidTr="0049770D">
        <w:trPr>
          <w:trHeight w:val="300"/>
          <w:tblHeader/>
        </w:trPr>
        <w:tc>
          <w:tcPr>
            <w:tcW w:w="4957" w:type="dxa"/>
            <w:tcBorders>
              <w:top w:val="single" w:sz="4" w:space="0" w:color="A6A6A6"/>
              <w:left w:val="single" w:sz="4" w:space="0" w:color="A6A6A6"/>
              <w:bottom w:val="single" w:sz="4" w:space="0" w:color="A6A6A6"/>
              <w:right w:val="single" w:sz="4" w:space="0" w:color="A6A6A6"/>
            </w:tcBorders>
            <w:shd w:val="clear" w:color="000000" w:fill="FFF2CC"/>
          </w:tcPr>
          <w:p w14:paraId="77E632BD" w14:textId="1232AF69" w:rsidR="00633D4B" w:rsidRDefault="00633D4B" w:rsidP="00633D4B">
            <w:pPr>
              <w:autoSpaceDE/>
              <w:autoSpaceDN/>
              <w:adjustRightInd/>
              <w:spacing w:after="0"/>
              <w:rPr>
                <w:rFonts w:ascii="Calibri" w:hAnsi="Calibri" w:cs="Calibri"/>
                <w:b/>
                <w:lang w:bidi="ar-SA"/>
              </w:rPr>
            </w:pPr>
            <w:r w:rsidRPr="00857E5B">
              <w:rPr>
                <w:rFonts w:ascii="Calibri" w:hAnsi="Calibri" w:cs="Calibri"/>
                <w:b/>
                <w:lang w:bidi="ar-SA"/>
              </w:rPr>
              <w:lastRenderedPageBreak/>
              <w:t>Tema/fagområde</w:t>
            </w:r>
            <w:r w:rsidR="003654DB">
              <w:rPr>
                <w:rFonts w:ascii="Calibri" w:hAnsi="Calibri" w:cs="Calibri"/>
                <w:b/>
                <w:lang w:bidi="ar-SA"/>
              </w:rPr>
              <w:t xml:space="preserve"> praktisk gjennomføring</w:t>
            </w:r>
          </w:p>
          <w:p w14:paraId="185E2AA9" w14:textId="3B4C4455" w:rsidR="00633D4B" w:rsidRPr="002E1E27" w:rsidRDefault="00633D4B" w:rsidP="00633D4B">
            <w:pPr>
              <w:autoSpaceDE/>
              <w:autoSpaceDN/>
              <w:adjustRightInd/>
              <w:spacing w:after="0"/>
              <w:rPr>
                <w:rFonts w:ascii="Calibri" w:hAnsi="Calibri" w:cs="Calibri"/>
                <w:lang w:bidi="ar-SA"/>
              </w:rPr>
            </w:pPr>
          </w:p>
        </w:tc>
        <w:tc>
          <w:tcPr>
            <w:tcW w:w="4110" w:type="dxa"/>
            <w:tcBorders>
              <w:top w:val="single" w:sz="4" w:space="0" w:color="A6A6A6"/>
              <w:left w:val="nil"/>
              <w:bottom w:val="single" w:sz="4" w:space="0" w:color="A6A6A6"/>
              <w:right w:val="single" w:sz="4" w:space="0" w:color="A6A6A6"/>
            </w:tcBorders>
            <w:shd w:val="clear" w:color="000000" w:fill="FFF2CC"/>
            <w:noWrap/>
          </w:tcPr>
          <w:p w14:paraId="6F9757B4" w14:textId="4C7636C1" w:rsidR="00633D4B" w:rsidRPr="002E1E27" w:rsidRDefault="00633D4B" w:rsidP="00633D4B">
            <w:pPr>
              <w:autoSpaceDE/>
              <w:autoSpaceDN/>
              <w:adjustRightInd/>
              <w:spacing w:after="0"/>
              <w:rPr>
                <w:rFonts w:ascii="Calibri" w:hAnsi="Calibri" w:cs="Calibri"/>
                <w:lang w:bidi="ar-SA"/>
              </w:rPr>
            </w:pPr>
            <w:r w:rsidRPr="00857E5B">
              <w:rPr>
                <w:rFonts w:ascii="Calibri" w:hAnsi="Calibri" w:cs="Calibri"/>
                <w:b/>
                <w:lang w:bidi="ar-SA"/>
              </w:rPr>
              <w:t>Kommentar</w:t>
            </w:r>
          </w:p>
        </w:tc>
      </w:tr>
      <w:tr w:rsidR="00633D4B" w:rsidRPr="002E1E27" w14:paraId="312D62E8" w14:textId="77777777" w:rsidTr="005A1024">
        <w:trPr>
          <w:trHeight w:val="300"/>
        </w:trPr>
        <w:tc>
          <w:tcPr>
            <w:tcW w:w="4957" w:type="dxa"/>
            <w:tcBorders>
              <w:top w:val="single" w:sz="4" w:space="0" w:color="A6A6A6"/>
              <w:left w:val="single" w:sz="4" w:space="0" w:color="A6A6A6"/>
              <w:bottom w:val="single" w:sz="4" w:space="0" w:color="A6A6A6"/>
              <w:right w:val="single" w:sz="4" w:space="0" w:color="A6A6A6"/>
            </w:tcBorders>
            <w:shd w:val="clear" w:color="auto" w:fill="auto"/>
            <w:hideMark/>
          </w:tcPr>
          <w:p w14:paraId="3838DA1A" w14:textId="77777777" w:rsidR="00633D4B" w:rsidRPr="002E1E27" w:rsidRDefault="00633D4B" w:rsidP="00633D4B">
            <w:pPr>
              <w:autoSpaceDE/>
              <w:autoSpaceDN/>
              <w:adjustRightInd/>
              <w:spacing w:after="0"/>
              <w:rPr>
                <w:rFonts w:ascii="Calibri" w:hAnsi="Calibri" w:cs="Calibri"/>
                <w:lang w:bidi="ar-SA"/>
              </w:rPr>
            </w:pPr>
            <w:r w:rsidRPr="002E1E27">
              <w:rPr>
                <w:rFonts w:ascii="Calibri" w:hAnsi="Calibri" w:cs="Calibri"/>
                <w:lang w:bidi="ar-SA"/>
              </w:rPr>
              <w:t>Bistand til protokollskriving</w:t>
            </w:r>
          </w:p>
        </w:tc>
        <w:tc>
          <w:tcPr>
            <w:tcW w:w="4110" w:type="dxa"/>
            <w:tcBorders>
              <w:top w:val="single" w:sz="4" w:space="0" w:color="A6A6A6"/>
              <w:left w:val="nil"/>
              <w:bottom w:val="single" w:sz="4" w:space="0" w:color="A6A6A6"/>
              <w:right w:val="single" w:sz="4" w:space="0" w:color="A6A6A6"/>
            </w:tcBorders>
            <w:shd w:val="clear" w:color="auto" w:fill="auto"/>
            <w:noWrap/>
            <w:hideMark/>
          </w:tcPr>
          <w:p w14:paraId="7813F866" w14:textId="77777777" w:rsidR="00633D4B" w:rsidRPr="002E1E27" w:rsidRDefault="00633D4B" w:rsidP="00633D4B">
            <w:pPr>
              <w:autoSpaceDE/>
              <w:autoSpaceDN/>
              <w:adjustRightInd/>
              <w:spacing w:after="0"/>
              <w:rPr>
                <w:rFonts w:ascii="Calibri" w:hAnsi="Calibri" w:cs="Calibri"/>
                <w:lang w:bidi="ar-SA"/>
              </w:rPr>
            </w:pPr>
            <w:r w:rsidRPr="002E1E27">
              <w:rPr>
                <w:rFonts w:ascii="Calibri" w:hAnsi="Calibri" w:cs="Calibri"/>
                <w:lang w:bidi="ar-SA"/>
              </w:rPr>
              <w:t> </w:t>
            </w:r>
          </w:p>
        </w:tc>
      </w:tr>
      <w:tr w:rsidR="00633D4B" w:rsidRPr="002E1E27" w14:paraId="3847003E" w14:textId="77777777" w:rsidTr="005A1024">
        <w:trPr>
          <w:trHeight w:val="300"/>
        </w:trPr>
        <w:tc>
          <w:tcPr>
            <w:tcW w:w="4957" w:type="dxa"/>
            <w:tcBorders>
              <w:top w:val="nil"/>
              <w:left w:val="single" w:sz="4" w:space="0" w:color="A6A6A6"/>
              <w:bottom w:val="single" w:sz="4" w:space="0" w:color="A6A6A6"/>
              <w:right w:val="single" w:sz="4" w:space="0" w:color="A6A6A6"/>
            </w:tcBorders>
            <w:shd w:val="clear" w:color="auto" w:fill="auto"/>
            <w:hideMark/>
          </w:tcPr>
          <w:p w14:paraId="35382FE1" w14:textId="77777777" w:rsidR="00633D4B" w:rsidRPr="002E1E27" w:rsidRDefault="00633D4B" w:rsidP="00633D4B">
            <w:pPr>
              <w:autoSpaceDE/>
              <w:autoSpaceDN/>
              <w:adjustRightInd/>
              <w:spacing w:after="0"/>
              <w:rPr>
                <w:rFonts w:ascii="Calibri" w:hAnsi="Calibri" w:cs="Calibri"/>
                <w:lang w:bidi="ar-SA"/>
              </w:rPr>
            </w:pPr>
            <w:r w:rsidRPr="002E1E27">
              <w:rPr>
                <w:rFonts w:ascii="Calibri" w:hAnsi="Calibri" w:cs="Calibri"/>
                <w:lang w:bidi="ar-SA"/>
              </w:rPr>
              <w:t>Utarbeide spørreskjema/database (e-CRF)</w:t>
            </w:r>
          </w:p>
        </w:tc>
        <w:tc>
          <w:tcPr>
            <w:tcW w:w="4110" w:type="dxa"/>
            <w:tcBorders>
              <w:top w:val="nil"/>
              <w:left w:val="nil"/>
              <w:bottom w:val="single" w:sz="4" w:space="0" w:color="A6A6A6"/>
              <w:right w:val="single" w:sz="4" w:space="0" w:color="A6A6A6"/>
            </w:tcBorders>
            <w:shd w:val="clear" w:color="auto" w:fill="auto"/>
            <w:noWrap/>
            <w:hideMark/>
          </w:tcPr>
          <w:p w14:paraId="47919D29" w14:textId="77777777" w:rsidR="00633D4B" w:rsidRPr="002E1E27" w:rsidRDefault="00633D4B" w:rsidP="00633D4B">
            <w:pPr>
              <w:autoSpaceDE/>
              <w:autoSpaceDN/>
              <w:adjustRightInd/>
              <w:spacing w:after="0"/>
              <w:rPr>
                <w:rFonts w:ascii="Calibri" w:hAnsi="Calibri" w:cs="Calibri"/>
                <w:lang w:bidi="ar-SA"/>
              </w:rPr>
            </w:pPr>
            <w:r w:rsidRPr="002E1E27">
              <w:rPr>
                <w:rFonts w:ascii="Calibri" w:hAnsi="Calibri" w:cs="Calibri"/>
                <w:lang w:bidi="ar-SA"/>
              </w:rPr>
              <w:t> </w:t>
            </w:r>
          </w:p>
        </w:tc>
      </w:tr>
      <w:tr w:rsidR="00633D4B" w:rsidRPr="002E1E27" w14:paraId="53BFEDFF" w14:textId="77777777" w:rsidTr="005A1024">
        <w:trPr>
          <w:trHeight w:val="900"/>
        </w:trPr>
        <w:tc>
          <w:tcPr>
            <w:tcW w:w="4957" w:type="dxa"/>
            <w:tcBorders>
              <w:top w:val="nil"/>
              <w:left w:val="single" w:sz="4" w:space="0" w:color="A6A6A6"/>
              <w:bottom w:val="single" w:sz="4" w:space="0" w:color="A6A6A6"/>
              <w:right w:val="single" w:sz="4" w:space="0" w:color="A6A6A6"/>
            </w:tcBorders>
            <w:shd w:val="clear" w:color="auto" w:fill="auto"/>
            <w:hideMark/>
          </w:tcPr>
          <w:p w14:paraId="16E115E7" w14:textId="77777777" w:rsidR="00633D4B" w:rsidRPr="002E1E27" w:rsidRDefault="00633D4B" w:rsidP="00633D4B">
            <w:pPr>
              <w:autoSpaceDE/>
              <w:autoSpaceDN/>
              <w:adjustRightInd/>
              <w:spacing w:after="0"/>
              <w:rPr>
                <w:rFonts w:ascii="Calibri" w:hAnsi="Calibri" w:cs="Calibri"/>
                <w:lang w:bidi="ar-SA"/>
              </w:rPr>
            </w:pPr>
            <w:r w:rsidRPr="002E1E27">
              <w:rPr>
                <w:rFonts w:ascii="Calibri" w:hAnsi="Calibri" w:cs="Calibri"/>
                <w:lang w:bidi="ar-SA"/>
              </w:rPr>
              <w:t>Oppsett av IT-systemer for effektiv innsamling av data (datavarehus, automatisk overføring mellom systemer)</w:t>
            </w:r>
          </w:p>
        </w:tc>
        <w:tc>
          <w:tcPr>
            <w:tcW w:w="4110" w:type="dxa"/>
            <w:tcBorders>
              <w:top w:val="nil"/>
              <w:left w:val="nil"/>
              <w:bottom w:val="single" w:sz="4" w:space="0" w:color="A6A6A6"/>
              <w:right w:val="single" w:sz="4" w:space="0" w:color="A6A6A6"/>
            </w:tcBorders>
            <w:shd w:val="clear" w:color="auto" w:fill="auto"/>
            <w:noWrap/>
            <w:hideMark/>
          </w:tcPr>
          <w:p w14:paraId="54120E6A" w14:textId="77777777" w:rsidR="00633D4B" w:rsidRPr="002E1E27" w:rsidRDefault="00633D4B" w:rsidP="00633D4B">
            <w:pPr>
              <w:autoSpaceDE/>
              <w:autoSpaceDN/>
              <w:adjustRightInd/>
              <w:spacing w:after="0"/>
              <w:rPr>
                <w:rFonts w:ascii="Calibri" w:hAnsi="Calibri" w:cs="Calibri"/>
                <w:lang w:bidi="ar-SA"/>
              </w:rPr>
            </w:pPr>
            <w:r w:rsidRPr="002E1E27">
              <w:rPr>
                <w:rFonts w:ascii="Calibri" w:hAnsi="Calibri" w:cs="Calibri"/>
                <w:lang w:bidi="ar-SA"/>
              </w:rPr>
              <w:t> </w:t>
            </w:r>
          </w:p>
        </w:tc>
      </w:tr>
      <w:tr w:rsidR="00633D4B" w:rsidRPr="002E1E27" w14:paraId="219C7A29" w14:textId="77777777" w:rsidTr="005A1024">
        <w:trPr>
          <w:trHeight w:val="900"/>
        </w:trPr>
        <w:tc>
          <w:tcPr>
            <w:tcW w:w="4957" w:type="dxa"/>
            <w:tcBorders>
              <w:top w:val="nil"/>
              <w:left w:val="single" w:sz="4" w:space="0" w:color="A6A6A6"/>
              <w:bottom w:val="single" w:sz="4" w:space="0" w:color="A6A6A6"/>
              <w:right w:val="single" w:sz="4" w:space="0" w:color="A6A6A6"/>
            </w:tcBorders>
            <w:shd w:val="clear" w:color="auto" w:fill="auto"/>
            <w:hideMark/>
          </w:tcPr>
          <w:p w14:paraId="051A2249" w14:textId="77777777" w:rsidR="00633D4B" w:rsidRPr="002E1E27" w:rsidRDefault="00633D4B" w:rsidP="00633D4B">
            <w:pPr>
              <w:autoSpaceDE/>
              <w:autoSpaceDN/>
              <w:adjustRightInd/>
              <w:spacing w:after="0"/>
              <w:rPr>
                <w:rFonts w:ascii="Calibri" w:hAnsi="Calibri" w:cs="Calibri"/>
                <w:lang w:bidi="ar-SA"/>
              </w:rPr>
            </w:pPr>
            <w:r w:rsidRPr="002E1E27">
              <w:rPr>
                <w:rFonts w:ascii="Calibri" w:hAnsi="Calibri" w:cs="Calibri"/>
                <w:lang w:bidi="ar-SA"/>
              </w:rPr>
              <w:t>Bistand til utvikling av statistisk analyseplan, gjennomføring av analyser og rapportering/publisering</w:t>
            </w:r>
          </w:p>
        </w:tc>
        <w:tc>
          <w:tcPr>
            <w:tcW w:w="4110" w:type="dxa"/>
            <w:tcBorders>
              <w:top w:val="nil"/>
              <w:left w:val="nil"/>
              <w:bottom w:val="single" w:sz="4" w:space="0" w:color="A6A6A6"/>
              <w:right w:val="single" w:sz="4" w:space="0" w:color="A6A6A6"/>
            </w:tcBorders>
            <w:shd w:val="clear" w:color="auto" w:fill="auto"/>
            <w:noWrap/>
            <w:hideMark/>
          </w:tcPr>
          <w:p w14:paraId="56A20B68" w14:textId="77777777" w:rsidR="00633D4B" w:rsidRPr="002E1E27" w:rsidRDefault="00633D4B" w:rsidP="00633D4B">
            <w:pPr>
              <w:autoSpaceDE/>
              <w:autoSpaceDN/>
              <w:adjustRightInd/>
              <w:spacing w:after="0"/>
              <w:rPr>
                <w:rFonts w:ascii="Calibri" w:hAnsi="Calibri" w:cs="Calibri"/>
                <w:lang w:bidi="ar-SA"/>
              </w:rPr>
            </w:pPr>
            <w:r w:rsidRPr="002E1E27">
              <w:rPr>
                <w:rFonts w:ascii="Calibri" w:hAnsi="Calibri" w:cs="Calibri"/>
                <w:lang w:bidi="ar-SA"/>
              </w:rPr>
              <w:t> </w:t>
            </w:r>
          </w:p>
        </w:tc>
      </w:tr>
      <w:tr w:rsidR="00633D4B" w:rsidRPr="002E1E27" w14:paraId="519CDBEE" w14:textId="77777777" w:rsidTr="005A1024">
        <w:trPr>
          <w:trHeight w:val="600"/>
        </w:trPr>
        <w:tc>
          <w:tcPr>
            <w:tcW w:w="4957" w:type="dxa"/>
            <w:tcBorders>
              <w:top w:val="nil"/>
              <w:left w:val="single" w:sz="4" w:space="0" w:color="A6A6A6"/>
              <w:bottom w:val="single" w:sz="4" w:space="0" w:color="A6A6A6"/>
              <w:right w:val="single" w:sz="4" w:space="0" w:color="A6A6A6"/>
            </w:tcBorders>
            <w:shd w:val="clear" w:color="auto" w:fill="auto"/>
            <w:hideMark/>
          </w:tcPr>
          <w:p w14:paraId="0B074785" w14:textId="54EC448D" w:rsidR="00633D4B" w:rsidRPr="002E1E27" w:rsidRDefault="00E2051F" w:rsidP="00633D4B">
            <w:pPr>
              <w:autoSpaceDE/>
              <w:autoSpaceDN/>
              <w:adjustRightInd/>
              <w:spacing w:after="0"/>
              <w:rPr>
                <w:rFonts w:ascii="Calibri" w:hAnsi="Calibri" w:cs="Calibri"/>
                <w:color w:val="FF0000"/>
                <w:lang w:bidi="ar-SA"/>
              </w:rPr>
            </w:pPr>
            <w:r>
              <w:rPr>
                <w:rFonts w:ascii="Calibri" w:hAnsi="Calibri" w:cs="Calibri"/>
                <w:color w:val="FF0000"/>
                <w:lang w:bidi="ar-SA"/>
              </w:rPr>
              <w:t>Intern forankring:</w:t>
            </w:r>
            <w:r w:rsidR="00633D4B" w:rsidRPr="002E1E27">
              <w:rPr>
                <w:rFonts w:ascii="Calibri" w:hAnsi="Calibri" w:cs="Calibri"/>
                <w:color w:val="FF0000"/>
                <w:lang w:bidi="ar-SA"/>
              </w:rPr>
              <w:t xml:space="preserve"> PVO, klinik</w:t>
            </w:r>
            <w:r>
              <w:rPr>
                <w:rFonts w:ascii="Calibri" w:hAnsi="Calibri" w:cs="Calibri"/>
                <w:color w:val="FF0000"/>
                <w:lang w:bidi="ar-SA"/>
              </w:rPr>
              <w:t>k</w:t>
            </w:r>
            <w:r w:rsidR="00633D4B" w:rsidRPr="002E1E27">
              <w:rPr>
                <w:rFonts w:ascii="Calibri" w:hAnsi="Calibri" w:cs="Calibri"/>
                <w:color w:val="FF0000"/>
                <w:lang w:bidi="ar-SA"/>
              </w:rPr>
              <w:t xml:space="preserve">leder, </w:t>
            </w:r>
            <w:proofErr w:type="gramStart"/>
            <w:r w:rsidR="00633D4B" w:rsidRPr="002E1E27">
              <w:rPr>
                <w:rFonts w:ascii="Calibri" w:hAnsi="Calibri" w:cs="Calibri"/>
                <w:color w:val="FF0000"/>
                <w:lang w:bidi="ar-SA"/>
              </w:rPr>
              <w:t>avtale,</w:t>
            </w:r>
            <w:proofErr w:type="gramEnd"/>
            <w:r w:rsidR="00633D4B" w:rsidRPr="002E1E27">
              <w:rPr>
                <w:rFonts w:ascii="Calibri" w:hAnsi="Calibri" w:cs="Calibri"/>
                <w:color w:val="FF0000"/>
                <w:lang w:bidi="ar-SA"/>
              </w:rPr>
              <w:t xml:space="preserve"> dataoppbeva</w:t>
            </w:r>
            <w:r>
              <w:rPr>
                <w:rFonts w:ascii="Calibri" w:hAnsi="Calibri" w:cs="Calibri"/>
                <w:color w:val="FF0000"/>
                <w:lang w:bidi="ar-SA"/>
              </w:rPr>
              <w:t>r</w:t>
            </w:r>
            <w:r w:rsidR="00633D4B" w:rsidRPr="002E1E27">
              <w:rPr>
                <w:rFonts w:ascii="Calibri" w:hAnsi="Calibri" w:cs="Calibri"/>
                <w:color w:val="FF0000"/>
                <w:lang w:bidi="ar-SA"/>
              </w:rPr>
              <w:t>ing</w:t>
            </w:r>
          </w:p>
        </w:tc>
        <w:tc>
          <w:tcPr>
            <w:tcW w:w="4110" w:type="dxa"/>
            <w:tcBorders>
              <w:top w:val="nil"/>
              <w:left w:val="nil"/>
              <w:bottom w:val="single" w:sz="4" w:space="0" w:color="A6A6A6"/>
              <w:right w:val="single" w:sz="4" w:space="0" w:color="A6A6A6"/>
            </w:tcBorders>
            <w:shd w:val="clear" w:color="auto" w:fill="auto"/>
            <w:noWrap/>
            <w:hideMark/>
          </w:tcPr>
          <w:p w14:paraId="314F7DE1" w14:textId="77777777" w:rsidR="00633D4B" w:rsidRPr="002E1E27" w:rsidRDefault="00633D4B" w:rsidP="00633D4B">
            <w:pPr>
              <w:autoSpaceDE/>
              <w:autoSpaceDN/>
              <w:adjustRightInd/>
              <w:spacing w:after="0"/>
              <w:rPr>
                <w:rFonts w:ascii="Calibri" w:hAnsi="Calibri" w:cs="Calibri"/>
                <w:lang w:bidi="ar-SA"/>
              </w:rPr>
            </w:pPr>
            <w:r w:rsidRPr="002E1E27">
              <w:rPr>
                <w:rFonts w:ascii="Calibri" w:hAnsi="Calibri" w:cs="Calibri"/>
                <w:lang w:bidi="ar-SA"/>
              </w:rPr>
              <w:t> </w:t>
            </w:r>
          </w:p>
        </w:tc>
      </w:tr>
      <w:tr w:rsidR="00633D4B" w:rsidRPr="002E1E27" w14:paraId="45119D8F" w14:textId="77777777" w:rsidTr="005A1024">
        <w:trPr>
          <w:trHeight w:val="300"/>
        </w:trPr>
        <w:tc>
          <w:tcPr>
            <w:tcW w:w="4957" w:type="dxa"/>
            <w:tcBorders>
              <w:top w:val="nil"/>
              <w:left w:val="single" w:sz="4" w:space="0" w:color="A6A6A6"/>
              <w:bottom w:val="single" w:sz="4" w:space="0" w:color="A6A6A6"/>
              <w:right w:val="single" w:sz="4" w:space="0" w:color="A6A6A6"/>
            </w:tcBorders>
            <w:shd w:val="clear" w:color="auto" w:fill="auto"/>
            <w:hideMark/>
          </w:tcPr>
          <w:p w14:paraId="09AE2656" w14:textId="77777777" w:rsidR="00633D4B" w:rsidRPr="002E1E27" w:rsidRDefault="00633D4B" w:rsidP="00633D4B">
            <w:pPr>
              <w:autoSpaceDE/>
              <w:autoSpaceDN/>
              <w:adjustRightInd/>
              <w:spacing w:after="0"/>
              <w:rPr>
                <w:rFonts w:ascii="Calibri" w:hAnsi="Calibri" w:cs="Calibri"/>
                <w:lang w:bidi="ar-SA"/>
              </w:rPr>
            </w:pPr>
            <w:r w:rsidRPr="002E1E27">
              <w:rPr>
                <w:rFonts w:ascii="Calibri" w:hAnsi="Calibri" w:cs="Calibri"/>
                <w:lang w:bidi="ar-SA"/>
              </w:rPr>
              <w:t>Tjenester for monitorering av studier</w:t>
            </w:r>
          </w:p>
        </w:tc>
        <w:tc>
          <w:tcPr>
            <w:tcW w:w="4110" w:type="dxa"/>
            <w:tcBorders>
              <w:top w:val="nil"/>
              <w:left w:val="nil"/>
              <w:bottom w:val="single" w:sz="4" w:space="0" w:color="A6A6A6"/>
              <w:right w:val="single" w:sz="4" w:space="0" w:color="A6A6A6"/>
            </w:tcBorders>
            <w:shd w:val="clear" w:color="auto" w:fill="auto"/>
            <w:noWrap/>
            <w:hideMark/>
          </w:tcPr>
          <w:p w14:paraId="790161CB" w14:textId="77777777" w:rsidR="00633D4B" w:rsidRPr="002E1E27" w:rsidRDefault="00633D4B" w:rsidP="00633D4B">
            <w:pPr>
              <w:autoSpaceDE/>
              <w:autoSpaceDN/>
              <w:adjustRightInd/>
              <w:spacing w:after="0"/>
              <w:rPr>
                <w:rFonts w:ascii="Calibri" w:hAnsi="Calibri" w:cs="Calibri"/>
                <w:lang w:bidi="ar-SA"/>
              </w:rPr>
            </w:pPr>
            <w:r w:rsidRPr="002E1E27">
              <w:rPr>
                <w:rFonts w:ascii="Calibri" w:hAnsi="Calibri" w:cs="Calibri"/>
                <w:lang w:bidi="ar-SA"/>
              </w:rPr>
              <w:t> </w:t>
            </w:r>
          </w:p>
        </w:tc>
      </w:tr>
      <w:tr w:rsidR="00633D4B" w:rsidRPr="002E1E27" w14:paraId="18C32B6B" w14:textId="77777777" w:rsidTr="005A1024">
        <w:trPr>
          <w:trHeight w:val="600"/>
        </w:trPr>
        <w:tc>
          <w:tcPr>
            <w:tcW w:w="4957" w:type="dxa"/>
            <w:tcBorders>
              <w:top w:val="nil"/>
              <w:left w:val="single" w:sz="4" w:space="0" w:color="A6A6A6"/>
              <w:bottom w:val="single" w:sz="4" w:space="0" w:color="A6A6A6"/>
              <w:right w:val="single" w:sz="4" w:space="0" w:color="A6A6A6"/>
            </w:tcBorders>
            <w:shd w:val="clear" w:color="auto" w:fill="auto"/>
            <w:hideMark/>
          </w:tcPr>
          <w:p w14:paraId="4FD657AE" w14:textId="77777777" w:rsidR="00633D4B" w:rsidRPr="002E1E27" w:rsidRDefault="00633D4B" w:rsidP="00633D4B">
            <w:pPr>
              <w:autoSpaceDE/>
              <w:autoSpaceDN/>
              <w:adjustRightInd/>
              <w:spacing w:after="0"/>
              <w:rPr>
                <w:rFonts w:ascii="Calibri" w:hAnsi="Calibri" w:cs="Calibri"/>
                <w:lang w:bidi="ar-SA"/>
              </w:rPr>
            </w:pPr>
            <w:r w:rsidRPr="002E1E27">
              <w:rPr>
                <w:rFonts w:ascii="Calibri" w:hAnsi="Calibri" w:cs="Calibri"/>
                <w:lang w:bidi="ar-SA"/>
              </w:rPr>
              <w:t>Innsamling og analyse av data til Helseøkonomisk analyse</w:t>
            </w:r>
          </w:p>
        </w:tc>
        <w:tc>
          <w:tcPr>
            <w:tcW w:w="4110" w:type="dxa"/>
            <w:tcBorders>
              <w:top w:val="nil"/>
              <w:left w:val="nil"/>
              <w:bottom w:val="single" w:sz="4" w:space="0" w:color="A6A6A6"/>
              <w:right w:val="single" w:sz="4" w:space="0" w:color="A6A6A6"/>
            </w:tcBorders>
            <w:shd w:val="clear" w:color="auto" w:fill="auto"/>
            <w:noWrap/>
            <w:hideMark/>
          </w:tcPr>
          <w:p w14:paraId="6CEE9B27" w14:textId="77777777" w:rsidR="00633D4B" w:rsidRPr="002E1E27" w:rsidRDefault="00633D4B" w:rsidP="00633D4B">
            <w:pPr>
              <w:autoSpaceDE/>
              <w:autoSpaceDN/>
              <w:adjustRightInd/>
              <w:spacing w:after="0"/>
              <w:rPr>
                <w:rFonts w:ascii="Calibri" w:hAnsi="Calibri" w:cs="Calibri"/>
                <w:lang w:bidi="ar-SA"/>
              </w:rPr>
            </w:pPr>
            <w:r w:rsidRPr="002E1E27">
              <w:rPr>
                <w:rFonts w:ascii="Calibri" w:hAnsi="Calibri" w:cs="Calibri"/>
                <w:lang w:bidi="ar-SA"/>
              </w:rPr>
              <w:t> </w:t>
            </w:r>
          </w:p>
        </w:tc>
      </w:tr>
      <w:tr w:rsidR="00633D4B" w:rsidRPr="002E1E27" w14:paraId="506B8D4C" w14:textId="77777777" w:rsidTr="005A1024">
        <w:trPr>
          <w:trHeight w:val="600"/>
        </w:trPr>
        <w:tc>
          <w:tcPr>
            <w:tcW w:w="4957" w:type="dxa"/>
            <w:tcBorders>
              <w:top w:val="nil"/>
              <w:left w:val="single" w:sz="4" w:space="0" w:color="A6A6A6"/>
              <w:bottom w:val="single" w:sz="4" w:space="0" w:color="A6A6A6"/>
              <w:right w:val="single" w:sz="4" w:space="0" w:color="A6A6A6"/>
            </w:tcBorders>
            <w:shd w:val="clear" w:color="auto" w:fill="auto"/>
            <w:hideMark/>
          </w:tcPr>
          <w:p w14:paraId="12657247" w14:textId="77777777" w:rsidR="00633D4B" w:rsidRPr="002E1E27" w:rsidRDefault="00633D4B" w:rsidP="00633D4B">
            <w:pPr>
              <w:autoSpaceDE/>
              <w:autoSpaceDN/>
              <w:adjustRightInd/>
              <w:spacing w:after="0"/>
              <w:rPr>
                <w:rFonts w:ascii="Calibri" w:hAnsi="Calibri" w:cs="Calibri"/>
                <w:lang w:bidi="ar-SA"/>
              </w:rPr>
            </w:pPr>
            <w:r w:rsidRPr="002E1E27">
              <w:rPr>
                <w:rFonts w:ascii="Calibri" w:hAnsi="Calibri" w:cs="Calibri"/>
                <w:lang w:bidi="ar-SA"/>
              </w:rPr>
              <w:t>Innsamling og analyse av data til analyse av PROM</w:t>
            </w:r>
          </w:p>
        </w:tc>
        <w:tc>
          <w:tcPr>
            <w:tcW w:w="4110" w:type="dxa"/>
            <w:tcBorders>
              <w:top w:val="nil"/>
              <w:left w:val="nil"/>
              <w:bottom w:val="single" w:sz="4" w:space="0" w:color="A6A6A6"/>
              <w:right w:val="single" w:sz="4" w:space="0" w:color="A6A6A6"/>
            </w:tcBorders>
            <w:shd w:val="clear" w:color="auto" w:fill="auto"/>
            <w:noWrap/>
            <w:hideMark/>
          </w:tcPr>
          <w:p w14:paraId="58DDCF6E" w14:textId="77777777" w:rsidR="00633D4B" w:rsidRPr="002E1E27" w:rsidRDefault="00633D4B" w:rsidP="00633D4B">
            <w:pPr>
              <w:autoSpaceDE/>
              <w:autoSpaceDN/>
              <w:adjustRightInd/>
              <w:spacing w:after="0"/>
              <w:rPr>
                <w:rFonts w:ascii="Calibri" w:hAnsi="Calibri" w:cs="Calibri"/>
                <w:lang w:bidi="ar-SA"/>
              </w:rPr>
            </w:pPr>
            <w:r w:rsidRPr="002E1E27">
              <w:rPr>
                <w:rFonts w:ascii="Calibri" w:hAnsi="Calibri" w:cs="Calibri"/>
                <w:lang w:bidi="ar-SA"/>
              </w:rPr>
              <w:t> </w:t>
            </w:r>
          </w:p>
        </w:tc>
      </w:tr>
      <w:tr w:rsidR="00633D4B" w:rsidRPr="002E1E27" w14:paraId="0E00DBC6" w14:textId="77777777" w:rsidTr="005A1024">
        <w:trPr>
          <w:trHeight w:val="300"/>
        </w:trPr>
        <w:tc>
          <w:tcPr>
            <w:tcW w:w="4957" w:type="dxa"/>
            <w:tcBorders>
              <w:top w:val="nil"/>
              <w:left w:val="single" w:sz="4" w:space="0" w:color="A6A6A6"/>
              <w:bottom w:val="single" w:sz="4" w:space="0" w:color="A6A6A6"/>
              <w:right w:val="single" w:sz="4" w:space="0" w:color="A6A6A6"/>
            </w:tcBorders>
            <w:shd w:val="clear" w:color="auto" w:fill="auto"/>
            <w:hideMark/>
          </w:tcPr>
          <w:p w14:paraId="49186A62" w14:textId="5E9EFAE9" w:rsidR="00633D4B" w:rsidRPr="002E1E27" w:rsidRDefault="00633D4B" w:rsidP="00633D4B">
            <w:pPr>
              <w:autoSpaceDE/>
              <w:autoSpaceDN/>
              <w:adjustRightInd/>
              <w:spacing w:after="0"/>
              <w:rPr>
                <w:rFonts w:ascii="Calibri" w:hAnsi="Calibri" w:cs="Calibri"/>
                <w:lang w:bidi="ar-SA"/>
              </w:rPr>
            </w:pPr>
            <w:r w:rsidRPr="002E1E27">
              <w:rPr>
                <w:rFonts w:ascii="Calibri" w:hAnsi="Calibri" w:cs="Calibri"/>
                <w:lang w:bidi="ar-SA"/>
              </w:rPr>
              <w:t xml:space="preserve">Oppsett av </w:t>
            </w:r>
            <w:r w:rsidR="00E2051F">
              <w:rPr>
                <w:rFonts w:ascii="Calibri" w:hAnsi="Calibri" w:cs="Calibri"/>
                <w:lang w:bidi="ar-SA"/>
              </w:rPr>
              <w:t xml:space="preserve">nytt </w:t>
            </w:r>
            <w:r w:rsidRPr="002E1E27">
              <w:rPr>
                <w:rFonts w:ascii="Calibri" w:hAnsi="Calibri" w:cs="Calibri"/>
                <w:lang w:bidi="ar-SA"/>
              </w:rPr>
              <w:t>register</w:t>
            </w:r>
            <w:r w:rsidR="00E2051F">
              <w:rPr>
                <w:rFonts w:ascii="Calibri" w:hAnsi="Calibri" w:cs="Calibri"/>
                <w:lang w:bidi="ar-SA"/>
              </w:rPr>
              <w:t>, eller uttrekk fra eksisterende registre,</w:t>
            </w:r>
            <w:r w:rsidRPr="002E1E27">
              <w:rPr>
                <w:rFonts w:ascii="Calibri" w:hAnsi="Calibri" w:cs="Calibri"/>
                <w:lang w:bidi="ar-SA"/>
              </w:rPr>
              <w:t xml:space="preserve"> til forskningsformål</w:t>
            </w:r>
          </w:p>
        </w:tc>
        <w:tc>
          <w:tcPr>
            <w:tcW w:w="4110" w:type="dxa"/>
            <w:tcBorders>
              <w:top w:val="nil"/>
              <w:left w:val="nil"/>
              <w:bottom w:val="single" w:sz="4" w:space="0" w:color="A6A6A6"/>
              <w:right w:val="single" w:sz="4" w:space="0" w:color="A6A6A6"/>
            </w:tcBorders>
            <w:shd w:val="clear" w:color="auto" w:fill="auto"/>
            <w:noWrap/>
            <w:hideMark/>
          </w:tcPr>
          <w:p w14:paraId="48B62045" w14:textId="77777777" w:rsidR="00633D4B" w:rsidRPr="002E1E27" w:rsidRDefault="00633D4B" w:rsidP="00633D4B">
            <w:pPr>
              <w:autoSpaceDE/>
              <w:autoSpaceDN/>
              <w:adjustRightInd/>
              <w:spacing w:after="0"/>
              <w:rPr>
                <w:rFonts w:ascii="Calibri" w:hAnsi="Calibri" w:cs="Calibri"/>
                <w:lang w:bidi="ar-SA"/>
              </w:rPr>
            </w:pPr>
            <w:r w:rsidRPr="002E1E27">
              <w:rPr>
                <w:rFonts w:ascii="Calibri" w:hAnsi="Calibri" w:cs="Calibri"/>
                <w:lang w:bidi="ar-SA"/>
              </w:rPr>
              <w:t> </w:t>
            </w:r>
          </w:p>
        </w:tc>
      </w:tr>
      <w:tr w:rsidR="00633D4B" w:rsidRPr="002E1E27" w14:paraId="2CD7FD89" w14:textId="77777777" w:rsidTr="005A1024">
        <w:trPr>
          <w:trHeight w:val="600"/>
        </w:trPr>
        <w:tc>
          <w:tcPr>
            <w:tcW w:w="4957" w:type="dxa"/>
            <w:tcBorders>
              <w:top w:val="nil"/>
              <w:left w:val="single" w:sz="4" w:space="0" w:color="A6A6A6"/>
              <w:bottom w:val="single" w:sz="4" w:space="0" w:color="A6A6A6"/>
              <w:right w:val="single" w:sz="4" w:space="0" w:color="A6A6A6"/>
            </w:tcBorders>
            <w:shd w:val="clear" w:color="auto" w:fill="auto"/>
            <w:hideMark/>
          </w:tcPr>
          <w:p w14:paraId="51FBF333" w14:textId="77777777" w:rsidR="00633D4B" w:rsidRPr="002E1E27" w:rsidRDefault="00633D4B" w:rsidP="00633D4B">
            <w:pPr>
              <w:autoSpaceDE/>
              <w:autoSpaceDN/>
              <w:adjustRightInd/>
              <w:spacing w:after="0"/>
              <w:rPr>
                <w:rFonts w:ascii="Calibri" w:hAnsi="Calibri" w:cs="Calibri"/>
                <w:lang w:bidi="ar-SA"/>
              </w:rPr>
            </w:pPr>
            <w:r w:rsidRPr="002E1E27">
              <w:rPr>
                <w:rFonts w:ascii="Calibri" w:hAnsi="Calibri" w:cs="Calibri"/>
                <w:lang w:bidi="ar-SA"/>
              </w:rPr>
              <w:t>Oppsett for medikamentell behandling av forsøksdeltakere</w:t>
            </w:r>
          </w:p>
        </w:tc>
        <w:tc>
          <w:tcPr>
            <w:tcW w:w="4110" w:type="dxa"/>
            <w:tcBorders>
              <w:top w:val="nil"/>
              <w:left w:val="nil"/>
              <w:bottom w:val="single" w:sz="4" w:space="0" w:color="A6A6A6"/>
              <w:right w:val="single" w:sz="4" w:space="0" w:color="A6A6A6"/>
            </w:tcBorders>
            <w:shd w:val="clear" w:color="auto" w:fill="auto"/>
            <w:noWrap/>
            <w:hideMark/>
          </w:tcPr>
          <w:p w14:paraId="49ADD52D" w14:textId="31097A6B" w:rsidR="00633D4B" w:rsidRPr="002E1E27" w:rsidRDefault="00E2051F" w:rsidP="00633D4B">
            <w:pPr>
              <w:autoSpaceDE/>
              <w:autoSpaceDN/>
              <w:adjustRightInd/>
              <w:spacing w:after="0"/>
              <w:rPr>
                <w:rFonts w:ascii="Calibri" w:hAnsi="Calibri" w:cs="Calibri"/>
                <w:lang w:bidi="ar-SA"/>
              </w:rPr>
            </w:pPr>
            <w:r>
              <w:rPr>
                <w:rFonts w:ascii="Calibri" w:hAnsi="Calibri" w:cs="Calibri"/>
                <w:lang w:bidi="ar-SA"/>
              </w:rPr>
              <w:t>Kompetanse i egen enhet. (I en del studier vil man bruke Sykehusapotek</w:t>
            </w:r>
            <w:r w:rsidR="0040795D">
              <w:rPr>
                <w:rFonts w:ascii="Calibri" w:hAnsi="Calibri" w:cs="Calibri"/>
                <w:lang w:bidi="ar-SA"/>
              </w:rPr>
              <w:t>, og må da kunne sette opp nødvendig logistikk med dem</w:t>
            </w:r>
            <w:r>
              <w:rPr>
                <w:rFonts w:ascii="Calibri" w:hAnsi="Calibri" w:cs="Calibri"/>
                <w:lang w:bidi="ar-SA"/>
              </w:rPr>
              <w:t>.)</w:t>
            </w:r>
          </w:p>
        </w:tc>
      </w:tr>
      <w:tr w:rsidR="00633D4B" w:rsidRPr="002E1E27" w14:paraId="52ECC55F" w14:textId="77777777" w:rsidTr="005A1024">
        <w:trPr>
          <w:trHeight w:val="285"/>
        </w:trPr>
        <w:tc>
          <w:tcPr>
            <w:tcW w:w="4957" w:type="dxa"/>
            <w:tcBorders>
              <w:top w:val="nil"/>
              <w:left w:val="single" w:sz="4" w:space="0" w:color="A6A6A6"/>
              <w:bottom w:val="single" w:sz="4" w:space="0" w:color="A6A6A6"/>
              <w:right w:val="single" w:sz="4" w:space="0" w:color="A6A6A6"/>
            </w:tcBorders>
            <w:shd w:val="clear" w:color="auto" w:fill="auto"/>
            <w:hideMark/>
          </w:tcPr>
          <w:p w14:paraId="7526309B" w14:textId="77777777" w:rsidR="00633D4B" w:rsidRPr="002E1E27" w:rsidRDefault="00633D4B" w:rsidP="00633D4B">
            <w:pPr>
              <w:autoSpaceDE/>
              <w:autoSpaceDN/>
              <w:adjustRightInd/>
              <w:spacing w:after="0"/>
              <w:rPr>
                <w:rFonts w:ascii="Calibri" w:hAnsi="Calibri" w:cs="Calibri"/>
                <w:color w:val="auto"/>
                <w:lang w:bidi="ar-SA"/>
              </w:rPr>
            </w:pPr>
            <w:r w:rsidRPr="002E1E27">
              <w:rPr>
                <w:rFonts w:ascii="Calibri" w:hAnsi="Calibri" w:cs="Calibri"/>
                <w:color w:val="auto"/>
                <w:lang w:bidi="ar-SA"/>
              </w:rPr>
              <w:t>Bivirkningsrapportering (</w:t>
            </w:r>
            <w:proofErr w:type="spellStart"/>
            <w:r w:rsidRPr="002E1E27">
              <w:rPr>
                <w:rFonts w:ascii="Calibri" w:hAnsi="Calibri" w:cs="Calibri"/>
                <w:color w:val="auto"/>
                <w:lang w:bidi="ar-SA"/>
              </w:rPr>
              <w:t>Pharmacovigilance</w:t>
            </w:r>
            <w:proofErr w:type="spellEnd"/>
            <w:r w:rsidRPr="002E1E27">
              <w:rPr>
                <w:rFonts w:ascii="Calibri" w:hAnsi="Calibri" w:cs="Calibri"/>
                <w:color w:val="auto"/>
                <w:lang w:bidi="ar-SA"/>
              </w:rPr>
              <w:t>)</w:t>
            </w:r>
          </w:p>
        </w:tc>
        <w:tc>
          <w:tcPr>
            <w:tcW w:w="4110" w:type="dxa"/>
            <w:tcBorders>
              <w:top w:val="nil"/>
              <w:left w:val="nil"/>
              <w:bottom w:val="single" w:sz="4" w:space="0" w:color="A6A6A6"/>
              <w:right w:val="single" w:sz="4" w:space="0" w:color="A6A6A6"/>
            </w:tcBorders>
            <w:shd w:val="clear" w:color="auto" w:fill="auto"/>
            <w:noWrap/>
            <w:hideMark/>
          </w:tcPr>
          <w:p w14:paraId="5523A138" w14:textId="77777777" w:rsidR="00633D4B" w:rsidRPr="002E1E27" w:rsidRDefault="00633D4B" w:rsidP="00633D4B">
            <w:pPr>
              <w:autoSpaceDE/>
              <w:autoSpaceDN/>
              <w:adjustRightInd/>
              <w:spacing w:after="0"/>
              <w:rPr>
                <w:rFonts w:ascii="Calibri" w:hAnsi="Calibri" w:cs="Calibri"/>
                <w:lang w:bidi="ar-SA"/>
              </w:rPr>
            </w:pPr>
            <w:r w:rsidRPr="002E1E27">
              <w:rPr>
                <w:rFonts w:ascii="Calibri" w:hAnsi="Calibri" w:cs="Calibri"/>
                <w:lang w:bidi="ar-SA"/>
              </w:rPr>
              <w:t> </w:t>
            </w:r>
          </w:p>
        </w:tc>
      </w:tr>
      <w:tr w:rsidR="00633D4B" w:rsidRPr="002E1E27" w14:paraId="23513719" w14:textId="77777777" w:rsidTr="005A1024">
        <w:trPr>
          <w:trHeight w:val="300"/>
        </w:trPr>
        <w:tc>
          <w:tcPr>
            <w:tcW w:w="4957" w:type="dxa"/>
            <w:tcBorders>
              <w:top w:val="nil"/>
              <w:left w:val="single" w:sz="4" w:space="0" w:color="A6A6A6"/>
              <w:bottom w:val="single" w:sz="4" w:space="0" w:color="A6A6A6"/>
              <w:right w:val="single" w:sz="4" w:space="0" w:color="A6A6A6"/>
            </w:tcBorders>
            <w:shd w:val="clear" w:color="auto" w:fill="auto"/>
            <w:hideMark/>
          </w:tcPr>
          <w:p w14:paraId="605CBA28" w14:textId="77777777" w:rsidR="00633D4B" w:rsidRPr="002E1E27" w:rsidRDefault="00633D4B" w:rsidP="00633D4B">
            <w:pPr>
              <w:autoSpaceDE/>
              <w:autoSpaceDN/>
              <w:adjustRightInd/>
              <w:spacing w:after="0"/>
              <w:rPr>
                <w:rFonts w:ascii="Calibri" w:hAnsi="Calibri" w:cs="Calibri"/>
                <w:lang w:bidi="ar-SA"/>
              </w:rPr>
            </w:pPr>
            <w:r w:rsidRPr="002E1E27">
              <w:rPr>
                <w:rFonts w:ascii="Calibri" w:hAnsi="Calibri" w:cs="Calibri"/>
                <w:lang w:bidi="ar-SA"/>
              </w:rPr>
              <w:t>Rapportskriving og publisering</w:t>
            </w:r>
          </w:p>
        </w:tc>
        <w:tc>
          <w:tcPr>
            <w:tcW w:w="4110" w:type="dxa"/>
            <w:tcBorders>
              <w:top w:val="nil"/>
              <w:left w:val="nil"/>
              <w:bottom w:val="single" w:sz="4" w:space="0" w:color="A6A6A6"/>
              <w:right w:val="single" w:sz="4" w:space="0" w:color="A6A6A6"/>
            </w:tcBorders>
            <w:shd w:val="clear" w:color="auto" w:fill="auto"/>
            <w:noWrap/>
            <w:hideMark/>
          </w:tcPr>
          <w:p w14:paraId="605E78E8" w14:textId="77777777" w:rsidR="00633D4B" w:rsidRPr="002E1E27" w:rsidRDefault="00633D4B" w:rsidP="00633D4B">
            <w:pPr>
              <w:autoSpaceDE/>
              <w:autoSpaceDN/>
              <w:adjustRightInd/>
              <w:spacing w:after="0"/>
              <w:rPr>
                <w:rFonts w:ascii="Calibri" w:hAnsi="Calibri" w:cs="Calibri"/>
                <w:lang w:bidi="ar-SA"/>
              </w:rPr>
            </w:pPr>
            <w:r w:rsidRPr="002E1E27">
              <w:rPr>
                <w:rFonts w:ascii="Calibri" w:hAnsi="Calibri" w:cs="Calibri"/>
                <w:lang w:bidi="ar-SA"/>
              </w:rPr>
              <w:t> </w:t>
            </w:r>
          </w:p>
        </w:tc>
      </w:tr>
      <w:tr w:rsidR="00633D4B" w:rsidRPr="002E1E27" w14:paraId="337894FE" w14:textId="77777777" w:rsidTr="005A1024">
        <w:trPr>
          <w:trHeight w:val="300"/>
        </w:trPr>
        <w:tc>
          <w:tcPr>
            <w:tcW w:w="4957" w:type="dxa"/>
            <w:tcBorders>
              <w:top w:val="nil"/>
              <w:left w:val="single" w:sz="4" w:space="0" w:color="A6A6A6"/>
              <w:bottom w:val="single" w:sz="4" w:space="0" w:color="A6A6A6"/>
              <w:right w:val="single" w:sz="4" w:space="0" w:color="A6A6A6"/>
            </w:tcBorders>
            <w:shd w:val="clear" w:color="auto" w:fill="auto"/>
            <w:hideMark/>
          </w:tcPr>
          <w:p w14:paraId="7DBB7340" w14:textId="77777777" w:rsidR="00633D4B" w:rsidRPr="002E1E27" w:rsidRDefault="00633D4B" w:rsidP="00633D4B">
            <w:pPr>
              <w:autoSpaceDE/>
              <w:autoSpaceDN/>
              <w:adjustRightInd/>
              <w:spacing w:after="0"/>
              <w:rPr>
                <w:rFonts w:ascii="Calibri" w:hAnsi="Calibri" w:cs="Calibri"/>
                <w:color w:val="FF0000"/>
                <w:lang w:bidi="ar-SA"/>
              </w:rPr>
            </w:pPr>
            <w:r w:rsidRPr="002E1E27">
              <w:rPr>
                <w:rFonts w:ascii="Calibri" w:hAnsi="Calibri" w:cs="Calibri"/>
                <w:color w:val="FF0000"/>
                <w:lang w:bidi="ar-SA"/>
              </w:rPr>
              <w:t>Arkivering og deling av data</w:t>
            </w:r>
          </w:p>
        </w:tc>
        <w:tc>
          <w:tcPr>
            <w:tcW w:w="4110" w:type="dxa"/>
            <w:tcBorders>
              <w:top w:val="nil"/>
              <w:left w:val="nil"/>
              <w:bottom w:val="single" w:sz="4" w:space="0" w:color="A6A6A6"/>
              <w:right w:val="single" w:sz="4" w:space="0" w:color="A6A6A6"/>
            </w:tcBorders>
            <w:shd w:val="clear" w:color="auto" w:fill="auto"/>
            <w:noWrap/>
            <w:hideMark/>
          </w:tcPr>
          <w:p w14:paraId="1B414ECB" w14:textId="77777777" w:rsidR="00633D4B" w:rsidRPr="002E1E27" w:rsidRDefault="00633D4B" w:rsidP="00633D4B">
            <w:pPr>
              <w:autoSpaceDE/>
              <w:autoSpaceDN/>
              <w:adjustRightInd/>
              <w:spacing w:after="0"/>
              <w:rPr>
                <w:rFonts w:ascii="Calibri" w:hAnsi="Calibri" w:cs="Calibri"/>
                <w:lang w:bidi="ar-SA"/>
              </w:rPr>
            </w:pPr>
            <w:r w:rsidRPr="002E1E27">
              <w:rPr>
                <w:rFonts w:ascii="Calibri" w:hAnsi="Calibri" w:cs="Calibri"/>
                <w:lang w:bidi="ar-SA"/>
              </w:rPr>
              <w:t> </w:t>
            </w:r>
          </w:p>
        </w:tc>
      </w:tr>
      <w:tr w:rsidR="00633D4B" w:rsidRPr="002E1E27" w14:paraId="337BE3B0" w14:textId="77777777" w:rsidTr="005A1024">
        <w:trPr>
          <w:trHeight w:val="600"/>
        </w:trPr>
        <w:tc>
          <w:tcPr>
            <w:tcW w:w="4957" w:type="dxa"/>
            <w:tcBorders>
              <w:top w:val="nil"/>
              <w:left w:val="single" w:sz="4" w:space="0" w:color="A6A6A6"/>
              <w:bottom w:val="single" w:sz="4" w:space="0" w:color="A6A6A6"/>
              <w:right w:val="single" w:sz="4" w:space="0" w:color="A6A6A6"/>
            </w:tcBorders>
            <w:shd w:val="clear" w:color="auto" w:fill="auto"/>
            <w:vAlign w:val="bottom"/>
            <w:hideMark/>
          </w:tcPr>
          <w:p w14:paraId="33F8A68C" w14:textId="77777777" w:rsidR="00633D4B" w:rsidRPr="002E1E27" w:rsidRDefault="00633D4B" w:rsidP="00633D4B">
            <w:pPr>
              <w:autoSpaceDE/>
              <w:autoSpaceDN/>
              <w:adjustRightInd/>
              <w:spacing w:after="0"/>
              <w:rPr>
                <w:rFonts w:ascii="Calibri" w:hAnsi="Calibri" w:cs="Calibri"/>
                <w:color w:val="auto"/>
                <w:lang w:bidi="ar-SA"/>
              </w:rPr>
            </w:pPr>
            <w:r w:rsidRPr="002E1E27">
              <w:rPr>
                <w:rFonts w:ascii="Calibri" w:hAnsi="Calibri" w:cs="Calibri"/>
                <w:color w:val="auto"/>
                <w:lang w:bidi="ar-SA"/>
              </w:rPr>
              <w:t>Medisinsk overvåking av forsøksdeltagere i en klinisk studie</w:t>
            </w:r>
          </w:p>
        </w:tc>
        <w:tc>
          <w:tcPr>
            <w:tcW w:w="4110" w:type="dxa"/>
            <w:tcBorders>
              <w:top w:val="nil"/>
              <w:left w:val="nil"/>
              <w:bottom w:val="single" w:sz="4" w:space="0" w:color="A6A6A6"/>
              <w:right w:val="single" w:sz="4" w:space="0" w:color="A6A6A6"/>
            </w:tcBorders>
            <w:shd w:val="clear" w:color="auto" w:fill="auto"/>
            <w:noWrap/>
            <w:hideMark/>
          </w:tcPr>
          <w:p w14:paraId="651A0D44" w14:textId="77777777" w:rsidR="00633D4B" w:rsidRPr="002E1E27" w:rsidRDefault="00633D4B" w:rsidP="00633D4B">
            <w:pPr>
              <w:autoSpaceDE/>
              <w:autoSpaceDN/>
              <w:adjustRightInd/>
              <w:spacing w:after="0"/>
              <w:rPr>
                <w:rFonts w:ascii="Calibri" w:hAnsi="Calibri" w:cs="Calibri"/>
                <w:lang w:bidi="ar-SA"/>
              </w:rPr>
            </w:pPr>
            <w:r w:rsidRPr="002E1E27">
              <w:rPr>
                <w:rFonts w:ascii="Calibri" w:hAnsi="Calibri" w:cs="Calibri"/>
                <w:lang w:bidi="ar-SA"/>
              </w:rPr>
              <w:t> </w:t>
            </w:r>
          </w:p>
        </w:tc>
      </w:tr>
      <w:tr w:rsidR="00633D4B" w:rsidRPr="002E1E27" w14:paraId="3ED00C4D" w14:textId="77777777" w:rsidTr="005A1024">
        <w:trPr>
          <w:trHeight w:val="900"/>
        </w:trPr>
        <w:tc>
          <w:tcPr>
            <w:tcW w:w="4957" w:type="dxa"/>
            <w:tcBorders>
              <w:top w:val="nil"/>
              <w:left w:val="nil"/>
              <w:bottom w:val="nil"/>
              <w:right w:val="nil"/>
            </w:tcBorders>
            <w:shd w:val="clear" w:color="auto" w:fill="auto"/>
            <w:vAlign w:val="bottom"/>
            <w:hideMark/>
          </w:tcPr>
          <w:p w14:paraId="32DAA5B0" w14:textId="77777777" w:rsidR="00633D4B" w:rsidRPr="002E1E27" w:rsidRDefault="00633D4B" w:rsidP="00633D4B">
            <w:pPr>
              <w:autoSpaceDE/>
              <w:autoSpaceDN/>
              <w:adjustRightInd/>
              <w:spacing w:after="0"/>
              <w:rPr>
                <w:rFonts w:ascii="Calibri" w:hAnsi="Calibri" w:cs="Calibri"/>
                <w:color w:val="FF0000"/>
                <w:lang w:bidi="ar-SA"/>
              </w:rPr>
            </w:pPr>
            <w:r w:rsidRPr="002E1E27">
              <w:rPr>
                <w:rFonts w:ascii="Calibri" w:hAnsi="Calibri" w:cs="Calibri"/>
                <w:color w:val="FF0000"/>
                <w:lang w:bidi="ar-SA"/>
              </w:rPr>
              <w:t>Temperaturkontrollerte skap og kjøleskap for oppbevaring av legemidler og temperaturfølsomt utstyr</w:t>
            </w:r>
          </w:p>
        </w:tc>
        <w:tc>
          <w:tcPr>
            <w:tcW w:w="4110" w:type="dxa"/>
            <w:tcBorders>
              <w:top w:val="nil"/>
              <w:left w:val="single" w:sz="4" w:space="0" w:color="A6A6A6"/>
              <w:bottom w:val="single" w:sz="4" w:space="0" w:color="A6A6A6"/>
              <w:right w:val="single" w:sz="4" w:space="0" w:color="A6A6A6"/>
            </w:tcBorders>
            <w:shd w:val="clear" w:color="auto" w:fill="auto"/>
            <w:noWrap/>
            <w:hideMark/>
          </w:tcPr>
          <w:p w14:paraId="0913271C" w14:textId="77777777" w:rsidR="00633D4B" w:rsidRPr="002E1E27" w:rsidRDefault="00633D4B" w:rsidP="00633D4B">
            <w:pPr>
              <w:autoSpaceDE/>
              <w:autoSpaceDN/>
              <w:adjustRightInd/>
              <w:spacing w:after="0"/>
              <w:rPr>
                <w:rFonts w:ascii="Calibri" w:hAnsi="Calibri" w:cs="Calibri"/>
                <w:lang w:bidi="ar-SA"/>
              </w:rPr>
            </w:pPr>
            <w:r w:rsidRPr="002E1E27">
              <w:rPr>
                <w:rFonts w:ascii="Calibri" w:hAnsi="Calibri" w:cs="Calibri"/>
                <w:lang w:bidi="ar-SA"/>
              </w:rPr>
              <w:t> </w:t>
            </w:r>
          </w:p>
        </w:tc>
      </w:tr>
      <w:tr w:rsidR="00633D4B" w:rsidRPr="002E1E27" w14:paraId="5EC71315" w14:textId="77777777" w:rsidTr="005A1024">
        <w:trPr>
          <w:trHeight w:val="900"/>
        </w:trPr>
        <w:tc>
          <w:tcPr>
            <w:tcW w:w="4957" w:type="dxa"/>
            <w:tcBorders>
              <w:top w:val="single" w:sz="4" w:space="0" w:color="A6A6A6"/>
              <w:left w:val="single" w:sz="4" w:space="0" w:color="A6A6A6"/>
              <w:bottom w:val="single" w:sz="4" w:space="0" w:color="A6A6A6"/>
              <w:right w:val="single" w:sz="4" w:space="0" w:color="A6A6A6"/>
            </w:tcBorders>
            <w:shd w:val="clear" w:color="auto" w:fill="auto"/>
            <w:vAlign w:val="bottom"/>
            <w:hideMark/>
          </w:tcPr>
          <w:p w14:paraId="4E74C97A" w14:textId="77777777" w:rsidR="00633D4B" w:rsidRPr="002E1E27" w:rsidRDefault="00633D4B" w:rsidP="00633D4B">
            <w:pPr>
              <w:autoSpaceDE/>
              <w:autoSpaceDN/>
              <w:adjustRightInd/>
              <w:spacing w:after="0"/>
              <w:rPr>
                <w:rFonts w:ascii="Calibri" w:hAnsi="Calibri" w:cs="Calibri"/>
                <w:color w:val="auto"/>
                <w:lang w:bidi="ar-SA"/>
              </w:rPr>
            </w:pPr>
            <w:r w:rsidRPr="002E1E27">
              <w:rPr>
                <w:rFonts w:ascii="Calibri" w:hAnsi="Calibri" w:cs="Calibri"/>
                <w:color w:val="auto"/>
                <w:lang w:bidi="ar-SA"/>
              </w:rPr>
              <w:t>Oppsett og etablering av biobank med elektronisk sporing av prøver knyttet til klinisk studie</w:t>
            </w:r>
          </w:p>
        </w:tc>
        <w:tc>
          <w:tcPr>
            <w:tcW w:w="4110" w:type="dxa"/>
            <w:tcBorders>
              <w:top w:val="nil"/>
              <w:left w:val="nil"/>
              <w:bottom w:val="single" w:sz="4" w:space="0" w:color="A6A6A6"/>
              <w:right w:val="single" w:sz="4" w:space="0" w:color="A6A6A6"/>
            </w:tcBorders>
            <w:shd w:val="clear" w:color="auto" w:fill="auto"/>
            <w:noWrap/>
            <w:hideMark/>
          </w:tcPr>
          <w:p w14:paraId="71622F8C" w14:textId="77777777" w:rsidR="00633D4B" w:rsidRPr="002E1E27" w:rsidRDefault="00633D4B" w:rsidP="00633D4B">
            <w:pPr>
              <w:autoSpaceDE/>
              <w:autoSpaceDN/>
              <w:adjustRightInd/>
              <w:spacing w:after="0"/>
              <w:rPr>
                <w:rFonts w:ascii="Calibri" w:hAnsi="Calibri" w:cs="Calibri"/>
                <w:lang w:bidi="ar-SA"/>
              </w:rPr>
            </w:pPr>
            <w:r w:rsidRPr="002E1E27">
              <w:rPr>
                <w:rFonts w:ascii="Calibri" w:hAnsi="Calibri" w:cs="Calibri"/>
                <w:lang w:bidi="ar-SA"/>
              </w:rPr>
              <w:t> </w:t>
            </w:r>
          </w:p>
        </w:tc>
      </w:tr>
      <w:tr w:rsidR="00633D4B" w:rsidRPr="002E1E27" w14:paraId="43C2D348" w14:textId="77777777" w:rsidTr="005A1024">
        <w:trPr>
          <w:trHeight w:val="300"/>
        </w:trPr>
        <w:tc>
          <w:tcPr>
            <w:tcW w:w="4957" w:type="dxa"/>
            <w:tcBorders>
              <w:top w:val="nil"/>
              <w:left w:val="single" w:sz="4" w:space="0" w:color="A6A6A6"/>
              <w:bottom w:val="single" w:sz="4" w:space="0" w:color="A6A6A6"/>
              <w:right w:val="single" w:sz="4" w:space="0" w:color="A6A6A6"/>
            </w:tcBorders>
            <w:shd w:val="clear" w:color="auto" w:fill="auto"/>
            <w:vAlign w:val="bottom"/>
            <w:hideMark/>
          </w:tcPr>
          <w:p w14:paraId="1633E4F9" w14:textId="77777777" w:rsidR="00633D4B" w:rsidRPr="002E1E27" w:rsidRDefault="00633D4B" w:rsidP="00633D4B">
            <w:pPr>
              <w:autoSpaceDE/>
              <w:autoSpaceDN/>
              <w:adjustRightInd/>
              <w:spacing w:after="0"/>
              <w:rPr>
                <w:rFonts w:ascii="Calibri" w:hAnsi="Calibri" w:cs="Calibri"/>
                <w:color w:val="FF0000"/>
                <w:lang w:bidi="ar-SA"/>
              </w:rPr>
            </w:pPr>
            <w:r w:rsidRPr="002E1E27">
              <w:rPr>
                <w:rFonts w:ascii="Calibri" w:hAnsi="Calibri" w:cs="Calibri"/>
                <w:color w:val="FF0000"/>
                <w:lang w:bidi="ar-SA"/>
              </w:rPr>
              <w:t>Prøvetaking</w:t>
            </w:r>
            <w:r w:rsidRPr="002E1E27">
              <w:rPr>
                <w:rFonts w:ascii="Calibri" w:hAnsi="Calibri" w:cs="Calibri"/>
                <w:color w:val="FF0000"/>
                <w:sz w:val="16"/>
                <w:szCs w:val="16"/>
                <w:lang w:bidi="ar-SA"/>
              </w:rPr>
              <w:t> </w:t>
            </w:r>
            <w:r w:rsidRPr="002E1E27">
              <w:rPr>
                <w:rFonts w:ascii="Calibri" w:hAnsi="Calibri" w:cs="Calibri"/>
                <w:color w:val="FF0000"/>
                <w:lang w:bidi="ar-SA"/>
              </w:rPr>
              <w:t xml:space="preserve">(blod, biopsi, urin, </w:t>
            </w:r>
            <w:proofErr w:type="spellStart"/>
            <w:r w:rsidRPr="002E1E27">
              <w:rPr>
                <w:rFonts w:ascii="Calibri" w:hAnsi="Calibri" w:cs="Calibri"/>
                <w:color w:val="FF0000"/>
                <w:lang w:bidi="ar-SA"/>
              </w:rPr>
              <w:t>feces</w:t>
            </w:r>
            <w:proofErr w:type="spellEnd"/>
            <w:r w:rsidRPr="002E1E27">
              <w:rPr>
                <w:rFonts w:ascii="Calibri" w:hAnsi="Calibri" w:cs="Calibri"/>
                <w:color w:val="FF0000"/>
                <w:lang w:bidi="ar-SA"/>
              </w:rPr>
              <w:t xml:space="preserve"> </w:t>
            </w:r>
            <w:proofErr w:type="spellStart"/>
            <w:r w:rsidRPr="002E1E27">
              <w:rPr>
                <w:rFonts w:ascii="Calibri" w:hAnsi="Calibri" w:cs="Calibri"/>
                <w:color w:val="FF0000"/>
                <w:lang w:bidi="ar-SA"/>
              </w:rPr>
              <w:t>osv</w:t>
            </w:r>
            <w:proofErr w:type="spellEnd"/>
            <w:r w:rsidRPr="002E1E27">
              <w:rPr>
                <w:rFonts w:ascii="Calibri" w:hAnsi="Calibri" w:cs="Calibri"/>
                <w:color w:val="FF0000"/>
                <w:lang w:bidi="ar-SA"/>
              </w:rPr>
              <w:t>)</w:t>
            </w:r>
          </w:p>
        </w:tc>
        <w:tc>
          <w:tcPr>
            <w:tcW w:w="4110" w:type="dxa"/>
            <w:tcBorders>
              <w:top w:val="nil"/>
              <w:left w:val="nil"/>
              <w:bottom w:val="single" w:sz="4" w:space="0" w:color="A6A6A6"/>
              <w:right w:val="single" w:sz="4" w:space="0" w:color="A6A6A6"/>
            </w:tcBorders>
            <w:shd w:val="clear" w:color="auto" w:fill="auto"/>
            <w:noWrap/>
            <w:hideMark/>
          </w:tcPr>
          <w:p w14:paraId="5FE3DDDA" w14:textId="77777777" w:rsidR="00633D4B" w:rsidRPr="002E1E27" w:rsidRDefault="00633D4B" w:rsidP="00633D4B">
            <w:pPr>
              <w:autoSpaceDE/>
              <w:autoSpaceDN/>
              <w:adjustRightInd/>
              <w:spacing w:after="0"/>
              <w:rPr>
                <w:rFonts w:ascii="Calibri" w:hAnsi="Calibri" w:cs="Calibri"/>
                <w:lang w:bidi="ar-SA"/>
              </w:rPr>
            </w:pPr>
            <w:r w:rsidRPr="002E1E27">
              <w:rPr>
                <w:rFonts w:ascii="Calibri" w:hAnsi="Calibri" w:cs="Calibri"/>
                <w:lang w:bidi="ar-SA"/>
              </w:rPr>
              <w:t> </w:t>
            </w:r>
          </w:p>
        </w:tc>
      </w:tr>
      <w:tr w:rsidR="00633D4B" w:rsidRPr="002E1E27" w14:paraId="7E3B37F7" w14:textId="77777777" w:rsidTr="005A1024">
        <w:trPr>
          <w:trHeight w:val="600"/>
        </w:trPr>
        <w:tc>
          <w:tcPr>
            <w:tcW w:w="4957" w:type="dxa"/>
            <w:tcBorders>
              <w:top w:val="nil"/>
              <w:left w:val="single" w:sz="4" w:space="0" w:color="A6A6A6"/>
              <w:bottom w:val="single" w:sz="4" w:space="0" w:color="A6A6A6"/>
              <w:right w:val="single" w:sz="4" w:space="0" w:color="A6A6A6"/>
            </w:tcBorders>
            <w:shd w:val="clear" w:color="auto" w:fill="auto"/>
            <w:vAlign w:val="bottom"/>
            <w:hideMark/>
          </w:tcPr>
          <w:p w14:paraId="243037E4" w14:textId="454A82F6" w:rsidR="00633D4B" w:rsidRPr="002E1E27" w:rsidRDefault="00633D4B" w:rsidP="00633D4B">
            <w:pPr>
              <w:autoSpaceDE/>
              <w:autoSpaceDN/>
              <w:adjustRightInd/>
              <w:spacing w:after="0"/>
              <w:rPr>
                <w:rFonts w:ascii="Calibri" w:hAnsi="Calibri" w:cs="Calibri"/>
                <w:color w:val="FF0000"/>
                <w:lang w:bidi="ar-SA"/>
              </w:rPr>
            </w:pPr>
            <w:r w:rsidRPr="002E1E27">
              <w:rPr>
                <w:rFonts w:ascii="Calibri" w:hAnsi="Calibri" w:cs="Calibri"/>
                <w:color w:val="FF0000"/>
                <w:lang w:bidi="ar-SA"/>
              </w:rPr>
              <w:t>Lab fas</w:t>
            </w:r>
            <w:r>
              <w:rPr>
                <w:rFonts w:ascii="Calibri" w:hAnsi="Calibri" w:cs="Calibri"/>
                <w:color w:val="FF0000"/>
                <w:lang w:bidi="ar-SA"/>
              </w:rPr>
              <w:t>i</w:t>
            </w:r>
            <w:r w:rsidRPr="002E1E27">
              <w:rPr>
                <w:rFonts w:ascii="Calibri" w:hAnsi="Calibri" w:cs="Calibri"/>
                <w:color w:val="FF0000"/>
                <w:lang w:bidi="ar-SA"/>
              </w:rPr>
              <w:t>liteter for preparering av biobank material</w:t>
            </w:r>
          </w:p>
        </w:tc>
        <w:tc>
          <w:tcPr>
            <w:tcW w:w="4110" w:type="dxa"/>
            <w:tcBorders>
              <w:top w:val="nil"/>
              <w:left w:val="nil"/>
              <w:bottom w:val="single" w:sz="4" w:space="0" w:color="A6A6A6"/>
              <w:right w:val="single" w:sz="4" w:space="0" w:color="A6A6A6"/>
            </w:tcBorders>
            <w:shd w:val="clear" w:color="auto" w:fill="auto"/>
            <w:noWrap/>
            <w:hideMark/>
          </w:tcPr>
          <w:p w14:paraId="68DCEB49" w14:textId="77777777" w:rsidR="00633D4B" w:rsidRPr="002E1E27" w:rsidRDefault="00633D4B" w:rsidP="00633D4B">
            <w:pPr>
              <w:autoSpaceDE/>
              <w:autoSpaceDN/>
              <w:adjustRightInd/>
              <w:spacing w:after="0"/>
              <w:rPr>
                <w:rFonts w:ascii="Calibri" w:hAnsi="Calibri" w:cs="Calibri"/>
                <w:lang w:bidi="ar-SA"/>
              </w:rPr>
            </w:pPr>
            <w:r w:rsidRPr="002E1E27">
              <w:rPr>
                <w:rFonts w:ascii="Calibri" w:hAnsi="Calibri" w:cs="Calibri"/>
                <w:lang w:bidi="ar-SA"/>
              </w:rPr>
              <w:t> </w:t>
            </w:r>
          </w:p>
        </w:tc>
      </w:tr>
      <w:tr w:rsidR="00633D4B" w:rsidRPr="002E1E27" w14:paraId="6F9CE1CE" w14:textId="77777777" w:rsidTr="005A1024">
        <w:trPr>
          <w:trHeight w:val="900"/>
        </w:trPr>
        <w:tc>
          <w:tcPr>
            <w:tcW w:w="4957" w:type="dxa"/>
            <w:tcBorders>
              <w:top w:val="nil"/>
              <w:left w:val="single" w:sz="4" w:space="0" w:color="A6A6A6"/>
              <w:bottom w:val="single" w:sz="4" w:space="0" w:color="A6A6A6"/>
              <w:right w:val="single" w:sz="4" w:space="0" w:color="A6A6A6"/>
            </w:tcBorders>
            <w:shd w:val="clear" w:color="auto" w:fill="auto"/>
            <w:vAlign w:val="bottom"/>
            <w:hideMark/>
          </w:tcPr>
          <w:p w14:paraId="40DF06E0" w14:textId="77777777" w:rsidR="00633D4B" w:rsidRPr="002E1E27" w:rsidRDefault="00633D4B" w:rsidP="00633D4B">
            <w:pPr>
              <w:autoSpaceDE/>
              <w:autoSpaceDN/>
              <w:adjustRightInd/>
              <w:spacing w:after="0"/>
              <w:rPr>
                <w:rFonts w:ascii="Calibri" w:hAnsi="Calibri" w:cs="Calibri"/>
                <w:color w:val="FF0000"/>
                <w:lang w:bidi="ar-SA"/>
              </w:rPr>
            </w:pPr>
            <w:r w:rsidRPr="002E1E27">
              <w:rPr>
                <w:rFonts w:ascii="Calibri" w:hAnsi="Calibri" w:cs="Calibri"/>
                <w:color w:val="FF0000"/>
                <w:lang w:bidi="ar-SA"/>
              </w:rPr>
              <w:t>Lagring av biologisk materiale, herunder temperaturkontrollerte frysere med alarmer for temperaturstigning og logging</w:t>
            </w:r>
          </w:p>
        </w:tc>
        <w:tc>
          <w:tcPr>
            <w:tcW w:w="4110" w:type="dxa"/>
            <w:tcBorders>
              <w:top w:val="nil"/>
              <w:left w:val="nil"/>
              <w:bottom w:val="single" w:sz="4" w:space="0" w:color="A6A6A6"/>
              <w:right w:val="single" w:sz="4" w:space="0" w:color="A6A6A6"/>
            </w:tcBorders>
            <w:shd w:val="clear" w:color="auto" w:fill="auto"/>
            <w:noWrap/>
            <w:hideMark/>
          </w:tcPr>
          <w:p w14:paraId="47179ADD" w14:textId="77777777" w:rsidR="00633D4B" w:rsidRPr="002E1E27" w:rsidRDefault="00633D4B" w:rsidP="00633D4B">
            <w:pPr>
              <w:autoSpaceDE/>
              <w:autoSpaceDN/>
              <w:adjustRightInd/>
              <w:spacing w:after="0"/>
              <w:rPr>
                <w:rFonts w:ascii="Calibri" w:hAnsi="Calibri" w:cs="Calibri"/>
                <w:lang w:bidi="ar-SA"/>
              </w:rPr>
            </w:pPr>
            <w:r w:rsidRPr="002E1E27">
              <w:rPr>
                <w:rFonts w:ascii="Calibri" w:hAnsi="Calibri" w:cs="Calibri"/>
                <w:lang w:bidi="ar-SA"/>
              </w:rPr>
              <w:t> </w:t>
            </w:r>
          </w:p>
        </w:tc>
      </w:tr>
      <w:tr w:rsidR="00633D4B" w:rsidRPr="002E1E27" w14:paraId="2572E7AA" w14:textId="77777777" w:rsidTr="005A1024">
        <w:trPr>
          <w:trHeight w:val="300"/>
        </w:trPr>
        <w:tc>
          <w:tcPr>
            <w:tcW w:w="4957" w:type="dxa"/>
            <w:tcBorders>
              <w:top w:val="single" w:sz="4" w:space="0" w:color="BFBFBF"/>
              <w:left w:val="single" w:sz="4" w:space="0" w:color="BFBFBF"/>
              <w:bottom w:val="single" w:sz="4" w:space="0" w:color="BFBFBF"/>
              <w:right w:val="single" w:sz="4" w:space="0" w:color="BFBFBF"/>
            </w:tcBorders>
            <w:shd w:val="clear" w:color="auto" w:fill="auto"/>
            <w:vAlign w:val="bottom"/>
            <w:hideMark/>
          </w:tcPr>
          <w:p w14:paraId="708F8DA6" w14:textId="77777777" w:rsidR="00633D4B" w:rsidRPr="002E1E27" w:rsidRDefault="00633D4B" w:rsidP="00633D4B">
            <w:pPr>
              <w:autoSpaceDE/>
              <w:autoSpaceDN/>
              <w:adjustRightInd/>
              <w:spacing w:after="0"/>
              <w:rPr>
                <w:rFonts w:ascii="Calibri" w:hAnsi="Calibri" w:cs="Calibri"/>
                <w:color w:val="FF0000"/>
                <w:lang w:bidi="ar-SA"/>
              </w:rPr>
            </w:pPr>
            <w:r w:rsidRPr="002E1E27">
              <w:rPr>
                <w:rFonts w:ascii="Calibri" w:hAnsi="Calibri" w:cs="Calibri"/>
                <w:color w:val="FF0000"/>
                <w:lang w:bidi="ar-SA"/>
              </w:rPr>
              <w:t>Personell med GCP kompetanse</w:t>
            </w:r>
          </w:p>
        </w:tc>
        <w:tc>
          <w:tcPr>
            <w:tcW w:w="4110" w:type="dxa"/>
            <w:tcBorders>
              <w:top w:val="nil"/>
              <w:left w:val="single" w:sz="4" w:space="0" w:color="A6A6A6"/>
              <w:bottom w:val="single" w:sz="4" w:space="0" w:color="A6A6A6"/>
              <w:right w:val="single" w:sz="4" w:space="0" w:color="A6A6A6"/>
            </w:tcBorders>
            <w:shd w:val="clear" w:color="auto" w:fill="auto"/>
            <w:noWrap/>
            <w:hideMark/>
          </w:tcPr>
          <w:p w14:paraId="4E3A1636" w14:textId="77777777" w:rsidR="00633D4B" w:rsidRPr="002E1E27" w:rsidRDefault="00633D4B" w:rsidP="00633D4B">
            <w:pPr>
              <w:autoSpaceDE/>
              <w:autoSpaceDN/>
              <w:adjustRightInd/>
              <w:spacing w:after="0"/>
              <w:rPr>
                <w:rFonts w:ascii="Calibri" w:hAnsi="Calibri" w:cs="Calibri"/>
                <w:lang w:bidi="ar-SA"/>
              </w:rPr>
            </w:pPr>
            <w:r w:rsidRPr="002E1E27">
              <w:rPr>
                <w:rFonts w:ascii="Calibri" w:hAnsi="Calibri" w:cs="Calibri"/>
                <w:lang w:bidi="ar-SA"/>
              </w:rPr>
              <w:t> </w:t>
            </w:r>
          </w:p>
        </w:tc>
      </w:tr>
      <w:tr w:rsidR="00092295" w:rsidRPr="00B76ADC" w14:paraId="669B2E88" w14:textId="77777777" w:rsidTr="005A1024">
        <w:trPr>
          <w:trHeight w:val="300"/>
        </w:trPr>
        <w:tc>
          <w:tcPr>
            <w:tcW w:w="4957" w:type="dxa"/>
            <w:tcBorders>
              <w:top w:val="single" w:sz="4" w:space="0" w:color="BFBFBF"/>
              <w:left w:val="single" w:sz="4" w:space="0" w:color="BFBFBF"/>
              <w:bottom w:val="single" w:sz="4" w:space="0" w:color="BFBFBF"/>
              <w:right w:val="single" w:sz="4" w:space="0" w:color="BFBFBF"/>
            </w:tcBorders>
            <w:shd w:val="clear" w:color="auto" w:fill="auto"/>
            <w:vAlign w:val="bottom"/>
          </w:tcPr>
          <w:p w14:paraId="6C796276" w14:textId="62A3F8D1" w:rsidR="00092295" w:rsidRPr="00B76ADC" w:rsidRDefault="00092295" w:rsidP="00633D4B">
            <w:pPr>
              <w:autoSpaceDE/>
              <w:autoSpaceDN/>
              <w:adjustRightInd/>
              <w:spacing w:after="0"/>
              <w:rPr>
                <w:rFonts w:ascii="Calibri" w:hAnsi="Calibri" w:cs="Calibri"/>
                <w:color w:val="FF0000"/>
                <w:lang w:val="nn-NO" w:bidi="ar-SA"/>
              </w:rPr>
            </w:pPr>
            <w:r w:rsidRPr="00B76ADC">
              <w:rPr>
                <w:rFonts w:ascii="Calibri" w:hAnsi="Calibri" w:cs="Calibri"/>
                <w:color w:val="auto"/>
                <w:lang w:val="nn-NO" w:bidi="ar-SA"/>
              </w:rPr>
              <w:lastRenderedPageBreak/>
              <w:t>Støtte til å ivareta sponsoransvaret, prosjektadministrasjon og koordinering</w:t>
            </w:r>
          </w:p>
        </w:tc>
        <w:tc>
          <w:tcPr>
            <w:tcW w:w="4110" w:type="dxa"/>
            <w:tcBorders>
              <w:top w:val="nil"/>
              <w:left w:val="single" w:sz="4" w:space="0" w:color="A6A6A6"/>
              <w:bottom w:val="single" w:sz="4" w:space="0" w:color="A6A6A6"/>
              <w:right w:val="single" w:sz="4" w:space="0" w:color="A6A6A6"/>
            </w:tcBorders>
            <w:shd w:val="clear" w:color="auto" w:fill="auto"/>
            <w:noWrap/>
          </w:tcPr>
          <w:p w14:paraId="07C3337E" w14:textId="77777777" w:rsidR="00092295" w:rsidRPr="00B76ADC" w:rsidRDefault="00092295" w:rsidP="00633D4B">
            <w:pPr>
              <w:autoSpaceDE/>
              <w:autoSpaceDN/>
              <w:adjustRightInd/>
              <w:spacing w:after="0"/>
              <w:rPr>
                <w:rFonts w:ascii="Calibri" w:hAnsi="Calibri" w:cs="Calibri"/>
                <w:lang w:val="nn-NO" w:bidi="ar-SA"/>
              </w:rPr>
            </w:pPr>
          </w:p>
        </w:tc>
      </w:tr>
      <w:tr w:rsidR="00633D4B" w:rsidRPr="002E1E27" w14:paraId="5EEDBBCC" w14:textId="77777777" w:rsidTr="005A1024">
        <w:trPr>
          <w:trHeight w:val="300"/>
        </w:trPr>
        <w:tc>
          <w:tcPr>
            <w:tcW w:w="4957" w:type="dxa"/>
            <w:tcBorders>
              <w:top w:val="nil"/>
              <w:left w:val="single" w:sz="4" w:space="0" w:color="BFBFBF"/>
              <w:bottom w:val="single" w:sz="4" w:space="0" w:color="BFBFBF"/>
              <w:right w:val="single" w:sz="4" w:space="0" w:color="BFBFBF"/>
            </w:tcBorders>
            <w:shd w:val="clear" w:color="auto" w:fill="auto"/>
            <w:noWrap/>
            <w:vAlign w:val="bottom"/>
            <w:hideMark/>
          </w:tcPr>
          <w:p w14:paraId="442E3AA0" w14:textId="77777777" w:rsidR="00633D4B" w:rsidRPr="002E1E27" w:rsidRDefault="00633D4B" w:rsidP="00633D4B">
            <w:pPr>
              <w:autoSpaceDE/>
              <w:autoSpaceDN/>
              <w:adjustRightInd/>
              <w:spacing w:after="0"/>
              <w:rPr>
                <w:rFonts w:ascii="Calibri" w:hAnsi="Calibri" w:cs="Calibri"/>
                <w:lang w:bidi="ar-SA"/>
              </w:rPr>
            </w:pPr>
            <w:r w:rsidRPr="002E1E27">
              <w:rPr>
                <w:rFonts w:ascii="Calibri" w:hAnsi="Calibri" w:cs="Calibri"/>
                <w:lang w:bidi="ar-SA"/>
              </w:rPr>
              <w:t>Biobankenhet</w:t>
            </w:r>
          </w:p>
        </w:tc>
        <w:tc>
          <w:tcPr>
            <w:tcW w:w="4110" w:type="dxa"/>
            <w:tcBorders>
              <w:top w:val="nil"/>
              <w:left w:val="single" w:sz="4" w:space="0" w:color="A6A6A6"/>
              <w:bottom w:val="single" w:sz="4" w:space="0" w:color="A6A6A6"/>
              <w:right w:val="single" w:sz="4" w:space="0" w:color="A6A6A6"/>
            </w:tcBorders>
            <w:shd w:val="clear" w:color="auto" w:fill="auto"/>
            <w:noWrap/>
            <w:hideMark/>
          </w:tcPr>
          <w:p w14:paraId="3C8BEC1C" w14:textId="77777777" w:rsidR="00633D4B" w:rsidRPr="002E1E27" w:rsidRDefault="00633D4B" w:rsidP="00633D4B">
            <w:pPr>
              <w:autoSpaceDE/>
              <w:autoSpaceDN/>
              <w:adjustRightInd/>
              <w:spacing w:after="0"/>
              <w:rPr>
                <w:rFonts w:ascii="Calibri" w:hAnsi="Calibri" w:cs="Calibri"/>
                <w:lang w:bidi="ar-SA"/>
              </w:rPr>
            </w:pPr>
            <w:r w:rsidRPr="002E1E27">
              <w:rPr>
                <w:rFonts w:ascii="Calibri" w:hAnsi="Calibri" w:cs="Calibri"/>
                <w:lang w:bidi="ar-SA"/>
              </w:rPr>
              <w:t> </w:t>
            </w:r>
          </w:p>
        </w:tc>
      </w:tr>
      <w:tr w:rsidR="00633D4B" w:rsidRPr="002E1E27" w14:paraId="59F66A9B" w14:textId="77777777" w:rsidTr="005A1024">
        <w:trPr>
          <w:trHeight w:val="300"/>
        </w:trPr>
        <w:tc>
          <w:tcPr>
            <w:tcW w:w="4957" w:type="dxa"/>
            <w:tcBorders>
              <w:top w:val="nil"/>
              <w:left w:val="single" w:sz="4" w:space="0" w:color="BFBFBF"/>
              <w:bottom w:val="single" w:sz="4" w:space="0" w:color="BFBFBF"/>
              <w:right w:val="single" w:sz="4" w:space="0" w:color="BFBFBF"/>
            </w:tcBorders>
            <w:shd w:val="clear" w:color="auto" w:fill="auto"/>
            <w:vAlign w:val="bottom"/>
            <w:hideMark/>
          </w:tcPr>
          <w:p w14:paraId="614A61D7" w14:textId="77777777" w:rsidR="00633D4B" w:rsidRPr="002E1E27" w:rsidRDefault="00633D4B" w:rsidP="00633D4B">
            <w:pPr>
              <w:autoSpaceDE/>
              <w:autoSpaceDN/>
              <w:adjustRightInd/>
              <w:spacing w:after="0"/>
              <w:rPr>
                <w:rFonts w:ascii="Calibri" w:hAnsi="Calibri" w:cs="Calibri"/>
                <w:lang w:bidi="ar-SA"/>
              </w:rPr>
            </w:pPr>
            <w:r w:rsidRPr="002E1E27">
              <w:rPr>
                <w:rFonts w:ascii="Calibri" w:hAnsi="Calibri" w:cs="Calibri"/>
                <w:lang w:bidi="ar-SA"/>
              </w:rPr>
              <w:t>Enhet for gjennomføring av kliniske studier</w:t>
            </w:r>
          </w:p>
        </w:tc>
        <w:tc>
          <w:tcPr>
            <w:tcW w:w="4110" w:type="dxa"/>
            <w:tcBorders>
              <w:top w:val="nil"/>
              <w:left w:val="single" w:sz="4" w:space="0" w:color="A6A6A6"/>
              <w:bottom w:val="single" w:sz="4" w:space="0" w:color="A6A6A6"/>
              <w:right w:val="single" w:sz="4" w:space="0" w:color="A6A6A6"/>
            </w:tcBorders>
            <w:shd w:val="clear" w:color="auto" w:fill="auto"/>
            <w:noWrap/>
            <w:hideMark/>
          </w:tcPr>
          <w:p w14:paraId="7D98620C" w14:textId="77777777" w:rsidR="00633D4B" w:rsidRPr="002E1E27" w:rsidRDefault="00633D4B" w:rsidP="00633D4B">
            <w:pPr>
              <w:autoSpaceDE/>
              <w:autoSpaceDN/>
              <w:adjustRightInd/>
              <w:spacing w:after="0"/>
              <w:rPr>
                <w:rFonts w:ascii="Calibri" w:hAnsi="Calibri" w:cs="Calibri"/>
                <w:lang w:bidi="ar-SA"/>
              </w:rPr>
            </w:pPr>
            <w:r w:rsidRPr="002E1E27">
              <w:rPr>
                <w:rFonts w:ascii="Calibri" w:hAnsi="Calibri" w:cs="Calibri"/>
                <w:lang w:bidi="ar-SA"/>
              </w:rPr>
              <w:t> </w:t>
            </w:r>
          </w:p>
        </w:tc>
      </w:tr>
      <w:tr w:rsidR="00633D4B" w:rsidRPr="002E1E27" w14:paraId="012D1142" w14:textId="77777777" w:rsidTr="005A1024">
        <w:trPr>
          <w:trHeight w:val="300"/>
        </w:trPr>
        <w:tc>
          <w:tcPr>
            <w:tcW w:w="4957" w:type="dxa"/>
            <w:tcBorders>
              <w:top w:val="nil"/>
              <w:left w:val="single" w:sz="4" w:space="0" w:color="BFBFBF"/>
              <w:bottom w:val="single" w:sz="4" w:space="0" w:color="BFBFBF"/>
              <w:right w:val="single" w:sz="4" w:space="0" w:color="BFBFBF"/>
            </w:tcBorders>
            <w:shd w:val="clear" w:color="auto" w:fill="auto"/>
            <w:vAlign w:val="bottom"/>
            <w:hideMark/>
          </w:tcPr>
          <w:p w14:paraId="5D64AD13" w14:textId="08C1CB55" w:rsidR="00633D4B" w:rsidRPr="002E1E27" w:rsidRDefault="00633D4B" w:rsidP="00633D4B">
            <w:pPr>
              <w:autoSpaceDE/>
              <w:autoSpaceDN/>
              <w:adjustRightInd/>
              <w:spacing w:after="0"/>
              <w:rPr>
                <w:rFonts w:ascii="Calibri" w:hAnsi="Calibri" w:cs="Calibri"/>
                <w:lang w:bidi="ar-SA"/>
              </w:rPr>
            </w:pPr>
            <w:r w:rsidRPr="002E1E27">
              <w:rPr>
                <w:rFonts w:ascii="Calibri" w:hAnsi="Calibri" w:cs="Calibri"/>
                <w:lang w:bidi="ar-SA"/>
              </w:rPr>
              <w:t>Forsknin</w:t>
            </w:r>
            <w:r>
              <w:rPr>
                <w:rFonts w:ascii="Calibri" w:hAnsi="Calibri" w:cs="Calibri"/>
                <w:lang w:bidi="ar-SA"/>
              </w:rPr>
              <w:t>g</w:t>
            </w:r>
            <w:r w:rsidRPr="002E1E27">
              <w:rPr>
                <w:rFonts w:ascii="Calibri" w:hAnsi="Calibri" w:cs="Calibri"/>
                <w:lang w:bidi="ar-SA"/>
              </w:rPr>
              <w:t>spost med sengeplasser/døgn</w:t>
            </w:r>
          </w:p>
        </w:tc>
        <w:tc>
          <w:tcPr>
            <w:tcW w:w="4110" w:type="dxa"/>
            <w:tcBorders>
              <w:top w:val="nil"/>
              <w:left w:val="single" w:sz="4" w:space="0" w:color="A6A6A6"/>
              <w:bottom w:val="single" w:sz="4" w:space="0" w:color="A6A6A6"/>
              <w:right w:val="single" w:sz="4" w:space="0" w:color="A6A6A6"/>
            </w:tcBorders>
            <w:shd w:val="clear" w:color="auto" w:fill="auto"/>
            <w:noWrap/>
            <w:hideMark/>
          </w:tcPr>
          <w:p w14:paraId="7A5099E6" w14:textId="77777777" w:rsidR="00633D4B" w:rsidRPr="002E1E27" w:rsidRDefault="00633D4B" w:rsidP="00633D4B">
            <w:pPr>
              <w:autoSpaceDE/>
              <w:autoSpaceDN/>
              <w:adjustRightInd/>
              <w:spacing w:after="0"/>
              <w:rPr>
                <w:rFonts w:ascii="Calibri" w:hAnsi="Calibri" w:cs="Calibri"/>
                <w:lang w:bidi="ar-SA"/>
              </w:rPr>
            </w:pPr>
            <w:r w:rsidRPr="002E1E27">
              <w:rPr>
                <w:rFonts w:ascii="Calibri" w:hAnsi="Calibri" w:cs="Calibri"/>
                <w:lang w:bidi="ar-SA"/>
              </w:rPr>
              <w:t> </w:t>
            </w:r>
          </w:p>
        </w:tc>
      </w:tr>
      <w:tr w:rsidR="00633D4B" w:rsidRPr="002E1E27" w14:paraId="5E154CE9" w14:textId="77777777" w:rsidTr="005A1024">
        <w:trPr>
          <w:trHeight w:val="300"/>
        </w:trPr>
        <w:tc>
          <w:tcPr>
            <w:tcW w:w="4957" w:type="dxa"/>
            <w:tcBorders>
              <w:top w:val="nil"/>
              <w:left w:val="single" w:sz="4" w:space="0" w:color="BFBFBF"/>
              <w:bottom w:val="single" w:sz="4" w:space="0" w:color="BFBFBF"/>
              <w:right w:val="single" w:sz="4" w:space="0" w:color="BFBFBF"/>
            </w:tcBorders>
            <w:shd w:val="clear" w:color="auto" w:fill="auto"/>
            <w:vAlign w:val="bottom"/>
            <w:hideMark/>
          </w:tcPr>
          <w:p w14:paraId="38FBB877" w14:textId="77777777" w:rsidR="00633D4B" w:rsidRPr="002E1E27" w:rsidRDefault="00633D4B" w:rsidP="00633D4B">
            <w:pPr>
              <w:autoSpaceDE/>
              <w:autoSpaceDN/>
              <w:adjustRightInd/>
              <w:spacing w:after="0"/>
              <w:rPr>
                <w:rFonts w:ascii="Calibri" w:hAnsi="Calibri" w:cs="Calibri"/>
                <w:lang w:bidi="ar-SA"/>
              </w:rPr>
            </w:pPr>
            <w:r w:rsidRPr="002E1E27">
              <w:rPr>
                <w:rFonts w:ascii="Calibri" w:hAnsi="Calibri" w:cs="Calibri"/>
                <w:lang w:bidi="ar-SA"/>
              </w:rPr>
              <w:t>Akkreditering for Fase I studier</w:t>
            </w:r>
          </w:p>
        </w:tc>
        <w:tc>
          <w:tcPr>
            <w:tcW w:w="4110" w:type="dxa"/>
            <w:tcBorders>
              <w:top w:val="nil"/>
              <w:left w:val="single" w:sz="4" w:space="0" w:color="A6A6A6"/>
              <w:bottom w:val="single" w:sz="4" w:space="0" w:color="A6A6A6"/>
              <w:right w:val="single" w:sz="4" w:space="0" w:color="A6A6A6"/>
            </w:tcBorders>
            <w:shd w:val="clear" w:color="auto" w:fill="auto"/>
            <w:noWrap/>
            <w:hideMark/>
          </w:tcPr>
          <w:p w14:paraId="2BE07C82" w14:textId="77777777" w:rsidR="00633D4B" w:rsidRPr="002E1E27" w:rsidRDefault="00633D4B" w:rsidP="00633D4B">
            <w:pPr>
              <w:autoSpaceDE/>
              <w:autoSpaceDN/>
              <w:adjustRightInd/>
              <w:spacing w:after="0"/>
              <w:rPr>
                <w:rFonts w:ascii="Calibri" w:hAnsi="Calibri" w:cs="Calibri"/>
                <w:lang w:bidi="ar-SA"/>
              </w:rPr>
            </w:pPr>
            <w:r w:rsidRPr="002E1E27">
              <w:rPr>
                <w:rFonts w:ascii="Calibri" w:hAnsi="Calibri" w:cs="Calibri"/>
                <w:lang w:bidi="ar-SA"/>
              </w:rPr>
              <w:t> </w:t>
            </w:r>
          </w:p>
        </w:tc>
      </w:tr>
    </w:tbl>
    <w:p w14:paraId="09BBF0AA" w14:textId="6C879187" w:rsidR="003F4A6A" w:rsidRPr="0049770D" w:rsidRDefault="003F4A6A" w:rsidP="003F4A6A">
      <w:pPr>
        <w:autoSpaceDE/>
        <w:autoSpaceDN/>
        <w:adjustRightInd/>
        <w:spacing w:after="0"/>
        <w:rPr>
          <w:rFonts w:ascii="Calibri" w:hAnsi="Calibri" w:cs="Calibri"/>
          <w:b/>
          <w:color w:val="auto"/>
          <w:lang w:bidi="ar-SA"/>
        </w:rPr>
      </w:pPr>
      <w:r>
        <w:rPr>
          <w:rFonts w:ascii="Calibri" w:hAnsi="Calibri" w:cs="Calibri"/>
          <w:b/>
          <w:color w:val="auto"/>
          <w:lang w:bidi="ar-SA"/>
        </w:rPr>
        <w:t>Tabell 3</w:t>
      </w:r>
      <w:r w:rsidRPr="0049770D">
        <w:rPr>
          <w:rFonts w:ascii="Calibri" w:hAnsi="Calibri" w:cs="Calibri"/>
          <w:b/>
          <w:color w:val="auto"/>
          <w:lang w:bidi="ar-SA"/>
        </w:rPr>
        <w:t xml:space="preserve">: </w:t>
      </w:r>
      <w:r>
        <w:rPr>
          <w:rFonts w:ascii="Calibri" w:hAnsi="Calibri" w:cs="Calibri"/>
          <w:b/>
          <w:color w:val="auto"/>
          <w:lang w:bidi="ar-SA"/>
        </w:rPr>
        <w:t>Fagområder for praktisk støtte til gjennomføring av kliniske studier fra forskningsstøtte</w:t>
      </w:r>
    </w:p>
    <w:p w14:paraId="73FF38DC" w14:textId="67B04B95" w:rsidR="002E1E27" w:rsidRDefault="002E1E27" w:rsidP="003C7351">
      <w:pPr>
        <w:contextualSpacing/>
        <w:rPr>
          <w:rFonts w:cs="Arial"/>
        </w:rPr>
      </w:pPr>
    </w:p>
    <w:p w14:paraId="7150791B" w14:textId="0101740D" w:rsidR="002E1E27" w:rsidRDefault="00D46D41" w:rsidP="003C7351">
      <w:pPr>
        <w:contextualSpacing/>
        <w:rPr>
          <w:rFonts w:cs="Arial"/>
        </w:rPr>
      </w:pPr>
      <w:r>
        <w:rPr>
          <w:rFonts w:cs="Arial"/>
        </w:rPr>
        <w:t xml:space="preserve">Arbeidet i AP11 skal være relevant </w:t>
      </w:r>
      <w:r w:rsidR="0062694C">
        <w:rPr>
          <w:rFonts w:cs="Arial"/>
        </w:rPr>
        <w:t xml:space="preserve">også </w:t>
      </w:r>
      <w:r>
        <w:rPr>
          <w:rFonts w:cs="Arial"/>
        </w:rPr>
        <w:t>for utvikling av mindre/nye enheter i forskningsstøtte, og fra interne diskusjoner har vi erfart at tabe</w:t>
      </w:r>
      <w:r w:rsidR="005F5A28">
        <w:rPr>
          <w:rFonts w:cs="Arial"/>
        </w:rPr>
        <w:t>llen over i så måte er et nyttig.</w:t>
      </w:r>
    </w:p>
    <w:p w14:paraId="574CECEF" w14:textId="4AE7FCA7" w:rsidR="005F5A28" w:rsidRDefault="005F5A28" w:rsidP="003C7351">
      <w:pPr>
        <w:contextualSpacing/>
        <w:rPr>
          <w:rFonts w:cs="Arial"/>
        </w:rPr>
      </w:pPr>
    </w:p>
    <w:p w14:paraId="0B34C4D9" w14:textId="77777777" w:rsidR="00F83DBC" w:rsidRDefault="005F5A28" w:rsidP="003C7351">
      <w:pPr>
        <w:contextualSpacing/>
        <w:rPr>
          <w:rFonts w:cs="Arial"/>
        </w:rPr>
      </w:pPr>
      <w:r>
        <w:rPr>
          <w:rFonts w:cs="Arial"/>
        </w:rPr>
        <w:t>Tabellen viser hvilke fagområder som vi ser for oss må være dekket, og det er absolutt mulig at denne sikres gjennom bidrag fra flere enheter i forskningsstøtte, og både lokalt og regionalt nivå.</w:t>
      </w:r>
      <w:r w:rsidR="005F4B71">
        <w:rPr>
          <w:rFonts w:cs="Arial"/>
        </w:rPr>
        <w:t xml:space="preserve"> Se </w:t>
      </w:r>
      <w:r w:rsidR="003768F3">
        <w:rPr>
          <w:rFonts w:cs="Arial"/>
          <w:b/>
        </w:rPr>
        <w:t>V</w:t>
      </w:r>
      <w:r w:rsidR="003F4A6A">
        <w:rPr>
          <w:rFonts w:cs="Arial"/>
          <w:b/>
        </w:rPr>
        <w:t>edlegg 11.4</w:t>
      </w:r>
      <w:r w:rsidR="005F4B71">
        <w:rPr>
          <w:rFonts w:cs="Arial"/>
        </w:rPr>
        <w:t xml:space="preserve">, for </w:t>
      </w:r>
      <w:r w:rsidR="0062694C">
        <w:rPr>
          <w:rFonts w:cs="Arial"/>
        </w:rPr>
        <w:t xml:space="preserve">en </w:t>
      </w:r>
      <w:proofErr w:type="spellStart"/>
      <w:r w:rsidR="0062694C">
        <w:rPr>
          <w:rFonts w:cs="Arial"/>
        </w:rPr>
        <w:t>excel</w:t>
      </w:r>
      <w:proofErr w:type="spellEnd"/>
      <w:r w:rsidR="0062694C">
        <w:rPr>
          <w:rFonts w:cs="Arial"/>
        </w:rPr>
        <w:t xml:space="preserve">-oversikt </w:t>
      </w:r>
      <w:r w:rsidR="001567B9">
        <w:rPr>
          <w:rFonts w:cs="Arial"/>
        </w:rPr>
        <w:t xml:space="preserve">med samme innhold som tabellen over, </w:t>
      </w:r>
      <w:r w:rsidR="0062694C">
        <w:rPr>
          <w:rFonts w:cs="Arial"/>
        </w:rPr>
        <w:t xml:space="preserve">som kan brukes i </w:t>
      </w:r>
      <w:r w:rsidR="005F4B71">
        <w:rPr>
          <w:rFonts w:cs="Arial"/>
        </w:rPr>
        <w:t xml:space="preserve">kartlegging av </w:t>
      </w:r>
      <w:r w:rsidR="00F7670D">
        <w:rPr>
          <w:rFonts w:cs="Arial"/>
        </w:rPr>
        <w:t xml:space="preserve">enheter i </w:t>
      </w:r>
      <w:r w:rsidR="005F4B71">
        <w:rPr>
          <w:rFonts w:cs="Arial"/>
        </w:rPr>
        <w:t>forskningsstøtte i Norge.</w:t>
      </w:r>
      <w:r w:rsidR="00F83DBC">
        <w:rPr>
          <w:rFonts w:cs="Arial"/>
        </w:rPr>
        <w:t xml:space="preserve"> AP11 ønsker </w:t>
      </w:r>
      <w:proofErr w:type="gramStart"/>
      <w:r w:rsidR="00F83DBC">
        <w:rPr>
          <w:rFonts w:cs="Arial"/>
        </w:rPr>
        <w:t>pilotere</w:t>
      </w:r>
      <w:proofErr w:type="gramEnd"/>
      <w:r w:rsidR="00F83DBC">
        <w:rPr>
          <w:rFonts w:cs="Arial"/>
        </w:rPr>
        <w:t xml:space="preserve"> bruken av tabell 3, og det vil alltid være viktig å definere klart hva som er hensikten med kartleggingen:</w:t>
      </w:r>
    </w:p>
    <w:p w14:paraId="7D5FA66A" w14:textId="5BC7173C" w:rsidR="00F83DBC" w:rsidRDefault="00F83DBC" w:rsidP="00F83DBC">
      <w:pPr>
        <w:pStyle w:val="Listeavsnitt"/>
        <w:numPr>
          <w:ilvl w:val="0"/>
          <w:numId w:val="61"/>
        </w:numPr>
        <w:rPr>
          <w:rFonts w:cs="Arial"/>
        </w:rPr>
      </w:pPr>
      <w:r w:rsidRPr="00F83DBC">
        <w:rPr>
          <w:rFonts w:cs="Arial"/>
        </w:rPr>
        <w:t>Ett formål kan vær</w:t>
      </w:r>
      <w:r>
        <w:rPr>
          <w:rFonts w:cs="Arial"/>
        </w:rPr>
        <w:t>e</w:t>
      </w:r>
      <w:r w:rsidRPr="00F83DBC">
        <w:rPr>
          <w:rFonts w:cs="Arial"/>
        </w:rPr>
        <w:t xml:space="preserve"> å kartlegge </w:t>
      </w:r>
      <w:r>
        <w:rPr>
          <w:rFonts w:cs="Arial"/>
        </w:rPr>
        <w:t xml:space="preserve">nivået for ulike enheter i forhold til de 4 trinnene på stigen. </w:t>
      </w:r>
    </w:p>
    <w:p w14:paraId="40D47A85" w14:textId="739931E0" w:rsidR="005F5A28" w:rsidRPr="00F83DBC" w:rsidRDefault="00F83DBC" w:rsidP="00F83DBC">
      <w:pPr>
        <w:pStyle w:val="Listeavsnitt"/>
        <w:numPr>
          <w:ilvl w:val="0"/>
          <w:numId w:val="61"/>
        </w:numPr>
        <w:rPr>
          <w:rFonts w:cs="Arial"/>
        </w:rPr>
      </w:pPr>
      <w:r>
        <w:rPr>
          <w:rFonts w:cs="Arial"/>
        </w:rPr>
        <w:t>Et annet formål kan være å kart legge regional kapasitet, og hvilken kompetanse som fins lokal</w:t>
      </w:r>
      <w:r w:rsidR="00181C59">
        <w:rPr>
          <w:rFonts w:cs="Arial"/>
        </w:rPr>
        <w:t>t</w:t>
      </w:r>
      <w:r>
        <w:rPr>
          <w:rFonts w:cs="Arial"/>
        </w:rPr>
        <w:t xml:space="preserve"> og regionalt, ev. også nasjonalt. </w:t>
      </w:r>
    </w:p>
    <w:p w14:paraId="6FD27A96" w14:textId="63D9BA3C" w:rsidR="002E1E27" w:rsidRDefault="002E1E27" w:rsidP="003C7351">
      <w:pPr>
        <w:contextualSpacing/>
        <w:rPr>
          <w:rFonts w:cs="Arial"/>
        </w:rPr>
      </w:pPr>
    </w:p>
    <w:p w14:paraId="2517D67D" w14:textId="56F8C4AD" w:rsidR="00B55B1D" w:rsidRPr="00B55B1D" w:rsidRDefault="005A1024" w:rsidP="00B55B1D">
      <w:pPr>
        <w:pStyle w:val="Overskrift2"/>
      </w:pPr>
      <w:bookmarkStart w:id="26" w:name="_Toc192525158"/>
      <w:r>
        <w:t>Ytterligere a</w:t>
      </w:r>
      <w:r w:rsidR="00F95D03">
        <w:t>nbefalinger for utvikling av</w:t>
      </w:r>
      <w:r w:rsidR="00E42422">
        <w:t xml:space="preserve"> nye</w:t>
      </w:r>
      <w:r w:rsidR="00F95D03">
        <w:t xml:space="preserve"> tjenester</w:t>
      </w:r>
      <w:r w:rsidR="005F5A28">
        <w:t xml:space="preserve"> i forskningsstøtte</w:t>
      </w:r>
      <w:bookmarkEnd w:id="26"/>
    </w:p>
    <w:p w14:paraId="02BFE4E0" w14:textId="067252CC" w:rsidR="003B010C" w:rsidRDefault="00231661">
      <w:pPr>
        <w:rPr>
          <w:rFonts w:cs="Arial"/>
          <w:color w:val="auto"/>
        </w:rPr>
      </w:pPr>
      <w:r>
        <w:rPr>
          <w:rFonts w:cs="Arial"/>
          <w:color w:val="auto"/>
        </w:rPr>
        <w:t>AP11 anbe</w:t>
      </w:r>
      <w:r w:rsidR="009A40F1">
        <w:rPr>
          <w:rFonts w:cs="Arial"/>
          <w:color w:val="auto"/>
        </w:rPr>
        <w:t xml:space="preserve">faler: </w:t>
      </w:r>
    </w:p>
    <w:p w14:paraId="4B7D9500" w14:textId="57E8382C" w:rsidR="00C855AB" w:rsidRPr="001B7E82" w:rsidRDefault="00C855AB" w:rsidP="0056311E">
      <w:pPr>
        <w:pStyle w:val="Listeavsnitt"/>
        <w:numPr>
          <w:ilvl w:val="0"/>
          <w:numId w:val="49"/>
        </w:numPr>
        <w:ind w:left="720"/>
        <w:rPr>
          <w:rFonts w:cs="Arial"/>
          <w:color w:val="auto"/>
        </w:rPr>
      </w:pPr>
      <w:r w:rsidRPr="002463D0">
        <w:rPr>
          <w:rFonts w:cs="Arial"/>
          <w:color w:val="auto"/>
        </w:rPr>
        <w:t>Flere enheter i f</w:t>
      </w:r>
      <w:r>
        <w:rPr>
          <w:rFonts w:cs="Arial"/>
          <w:color w:val="auto"/>
        </w:rPr>
        <w:t>orskningsstøtte</w:t>
      </w:r>
      <w:r w:rsidRPr="002463D0">
        <w:rPr>
          <w:rFonts w:cs="Arial"/>
          <w:color w:val="auto"/>
        </w:rPr>
        <w:t xml:space="preserve"> utvikler kapasitet innenfor rådgivning og gjennomføring av studier på medisinsk utstyr (</w:t>
      </w:r>
      <w:r w:rsidR="00C37A29">
        <w:rPr>
          <w:rFonts w:cs="Arial"/>
          <w:color w:val="auto"/>
        </w:rPr>
        <w:t xml:space="preserve">ref. avsnitt 6.2.2, </w:t>
      </w:r>
      <w:r w:rsidRPr="002463D0">
        <w:rPr>
          <w:rFonts w:cs="Arial"/>
          <w:color w:val="auto"/>
        </w:rPr>
        <w:t>Sverige, Danmark)</w:t>
      </w:r>
    </w:p>
    <w:p w14:paraId="2BCA03AF" w14:textId="77777777" w:rsidR="00C855AB" w:rsidRPr="002463D0" w:rsidRDefault="00C855AB" w:rsidP="0056311E">
      <w:pPr>
        <w:pStyle w:val="Listeavsnitt"/>
        <w:rPr>
          <w:rFonts w:cs="Arial"/>
          <w:color w:val="auto"/>
        </w:rPr>
      </w:pPr>
    </w:p>
    <w:p w14:paraId="7FFC0C83" w14:textId="7B89BDCA" w:rsidR="00C855AB" w:rsidRDefault="00C855AB" w:rsidP="0056311E">
      <w:pPr>
        <w:pStyle w:val="Listeavsnitt"/>
        <w:numPr>
          <w:ilvl w:val="0"/>
          <w:numId w:val="49"/>
        </w:numPr>
        <w:ind w:left="720"/>
        <w:rPr>
          <w:rFonts w:cs="Arial"/>
          <w:color w:val="auto"/>
        </w:rPr>
      </w:pPr>
      <w:r w:rsidRPr="002463D0">
        <w:rPr>
          <w:rFonts w:cs="Arial"/>
          <w:color w:val="auto"/>
        </w:rPr>
        <w:t xml:space="preserve">Det utvikles </w:t>
      </w:r>
      <w:r w:rsidR="008C594A">
        <w:rPr>
          <w:rFonts w:cs="Arial"/>
          <w:color w:val="auto"/>
        </w:rPr>
        <w:t xml:space="preserve">kompetanse </w:t>
      </w:r>
      <w:r w:rsidR="005A1024">
        <w:rPr>
          <w:rFonts w:cs="Arial"/>
          <w:color w:val="auto"/>
        </w:rPr>
        <w:t>innenfor</w:t>
      </w:r>
      <w:r w:rsidRPr="002463D0">
        <w:rPr>
          <w:rFonts w:cs="Arial"/>
          <w:color w:val="auto"/>
        </w:rPr>
        <w:t xml:space="preserve"> prosjektledelse</w:t>
      </w:r>
      <w:r w:rsidR="008C594A">
        <w:rPr>
          <w:rFonts w:cs="Arial"/>
          <w:color w:val="auto"/>
        </w:rPr>
        <w:t>/prosjektadministrasjon</w:t>
      </w:r>
      <w:r w:rsidRPr="002463D0">
        <w:rPr>
          <w:rFonts w:cs="Arial"/>
          <w:color w:val="auto"/>
        </w:rPr>
        <w:t xml:space="preserve"> </w:t>
      </w:r>
      <w:r w:rsidR="005A1024">
        <w:rPr>
          <w:rFonts w:cs="Arial"/>
          <w:color w:val="auto"/>
        </w:rPr>
        <w:t xml:space="preserve">i forskningsstøtte, slik at </w:t>
      </w:r>
      <w:r w:rsidRPr="002463D0">
        <w:rPr>
          <w:rFonts w:cs="Arial"/>
          <w:color w:val="auto"/>
        </w:rPr>
        <w:t xml:space="preserve">forsker/enhet som </w:t>
      </w:r>
      <w:r w:rsidR="005A1024">
        <w:rPr>
          <w:rFonts w:cs="Arial"/>
          <w:color w:val="auto"/>
        </w:rPr>
        <w:t>er sponsor/forskningsansvarlig</w:t>
      </w:r>
      <w:r w:rsidRPr="002463D0">
        <w:rPr>
          <w:rFonts w:cs="Arial"/>
          <w:color w:val="auto"/>
        </w:rPr>
        <w:t xml:space="preserve"> i større kliniske studier </w:t>
      </w:r>
      <w:r w:rsidR="005A1024">
        <w:rPr>
          <w:rFonts w:cs="Arial"/>
          <w:color w:val="auto"/>
        </w:rPr>
        <w:t xml:space="preserve">kan kjøpe en slik tjeneste </w:t>
      </w:r>
      <w:r w:rsidRPr="002463D0">
        <w:rPr>
          <w:rFonts w:cs="Arial"/>
          <w:color w:val="auto"/>
        </w:rPr>
        <w:t>(</w:t>
      </w:r>
      <w:r w:rsidR="00350652">
        <w:rPr>
          <w:rFonts w:cs="Arial"/>
          <w:color w:val="auto"/>
        </w:rPr>
        <w:t xml:space="preserve">ref. avsnitt 6.2.1.1, </w:t>
      </w:r>
      <w:r w:rsidRPr="002463D0">
        <w:rPr>
          <w:rFonts w:cs="Arial"/>
          <w:color w:val="auto"/>
        </w:rPr>
        <w:t>Sveits</w:t>
      </w:r>
      <w:r>
        <w:rPr>
          <w:rFonts w:cs="Arial"/>
          <w:color w:val="auto"/>
        </w:rPr>
        <w:t>, under evaluering i Sverige</w:t>
      </w:r>
      <w:r w:rsidRPr="002463D0">
        <w:rPr>
          <w:rFonts w:cs="Arial"/>
          <w:color w:val="auto"/>
        </w:rPr>
        <w:t>)</w:t>
      </w:r>
      <w:r w:rsidR="001B7E82">
        <w:rPr>
          <w:rFonts w:cs="Arial"/>
          <w:color w:val="auto"/>
        </w:rPr>
        <w:br/>
      </w:r>
    </w:p>
    <w:p w14:paraId="5DB34395" w14:textId="1D020D19" w:rsidR="00C855AB" w:rsidRDefault="00C855AB" w:rsidP="0056311E">
      <w:pPr>
        <w:pStyle w:val="Listeavsnitt"/>
        <w:numPr>
          <w:ilvl w:val="0"/>
          <w:numId w:val="49"/>
        </w:numPr>
        <w:ind w:left="720"/>
        <w:rPr>
          <w:rFonts w:cs="Arial"/>
          <w:color w:val="auto"/>
        </w:rPr>
      </w:pPr>
      <w:r w:rsidRPr="002463D0">
        <w:rPr>
          <w:rFonts w:cs="Arial"/>
          <w:color w:val="auto"/>
        </w:rPr>
        <w:t>Forskningsstøttes kompetanse og kapasitet på sikkerhetsrapportering (</w:t>
      </w:r>
      <w:proofErr w:type="spellStart"/>
      <w:r w:rsidR="00E6406F">
        <w:rPr>
          <w:rFonts w:cs="Arial"/>
          <w:color w:val="auto"/>
        </w:rPr>
        <w:t>p</w:t>
      </w:r>
      <w:r w:rsidRPr="002463D0">
        <w:rPr>
          <w:rFonts w:cs="Arial"/>
          <w:color w:val="auto"/>
        </w:rPr>
        <w:t>harmacovigilance</w:t>
      </w:r>
      <w:proofErr w:type="spellEnd"/>
      <w:r w:rsidRPr="002463D0">
        <w:rPr>
          <w:rFonts w:cs="Arial"/>
          <w:color w:val="auto"/>
        </w:rPr>
        <w:t xml:space="preserve">) bør økes, da dette blir viktigere etter at CTR 536/2014 ble </w:t>
      </w:r>
      <w:proofErr w:type="gramStart"/>
      <w:r w:rsidRPr="002463D0">
        <w:rPr>
          <w:rFonts w:cs="Arial"/>
          <w:color w:val="auto"/>
        </w:rPr>
        <w:t>implementert</w:t>
      </w:r>
      <w:proofErr w:type="gramEnd"/>
      <w:r w:rsidRPr="002463D0">
        <w:rPr>
          <w:rFonts w:cs="Arial"/>
          <w:color w:val="auto"/>
        </w:rPr>
        <w:t xml:space="preserve"> i 2022 (Sveits)</w:t>
      </w:r>
      <w:r w:rsidR="001B7E82">
        <w:rPr>
          <w:rFonts w:cs="Arial"/>
          <w:color w:val="auto"/>
        </w:rPr>
        <w:br/>
      </w:r>
    </w:p>
    <w:p w14:paraId="0B022AA7" w14:textId="74F8E473" w:rsidR="00C855AB" w:rsidRPr="00C855AB" w:rsidRDefault="00350652" w:rsidP="0056311E">
      <w:pPr>
        <w:pStyle w:val="Listeavsnitt"/>
        <w:numPr>
          <w:ilvl w:val="0"/>
          <w:numId w:val="49"/>
        </w:numPr>
        <w:ind w:left="720"/>
        <w:rPr>
          <w:rFonts w:cs="Arial"/>
          <w:color w:val="auto"/>
        </w:rPr>
      </w:pPr>
      <w:r>
        <w:rPr>
          <w:rFonts w:cs="Arial"/>
          <w:color w:val="auto"/>
        </w:rPr>
        <w:t>kompetanse og kapasitet</w:t>
      </w:r>
      <w:r w:rsidR="00C855AB" w:rsidRPr="00C855AB">
        <w:rPr>
          <w:rFonts w:cs="Arial"/>
          <w:color w:val="auto"/>
        </w:rPr>
        <w:t xml:space="preserve"> til å skrive </w:t>
      </w:r>
      <w:r>
        <w:rPr>
          <w:rFonts w:cs="Arial"/>
          <w:color w:val="auto"/>
        </w:rPr>
        <w:t>studie</w:t>
      </w:r>
      <w:r w:rsidR="00C855AB" w:rsidRPr="00C855AB">
        <w:rPr>
          <w:rFonts w:cs="Arial"/>
          <w:color w:val="auto"/>
        </w:rPr>
        <w:t>protoko</w:t>
      </w:r>
      <w:r w:rsidR="00F7670D">
        <w:rPr>
          <w:rFonts w:cs="Arial"/>
          <w:color w:val="auto"/>
        </w:rPr>
        <w:t xml:space="preserve">ll og </w:t>
      </w:r>
      <w:r>
        <w:rPr>
          <w:rFonts w:cs="Arial"/>
          <w:color w:val="auto"/>
        </w:rPr>
        <w:t>-</w:t>
      </w:r>
      <w:r w:rsidR="00F7670D">
        <w:rPr>
          <w:rFonts w:cs="Arial"/>
          <w:color w:val="auto"/>
        </w:rPr>
        <w:t xml:space="preserve">rapport </w:t>
      </w:r>
      <w:r w:rsidR="006A6A51">
        <w:rPr>
          <w:rFonts w:cs="Arial"/>
          <w:color w:val="auto"/>
        </w:rPr>
        <w:t xml:space="preserve">må utvikles i forskningsstøtte </w:t>
      </w:r>
      <w:r w:rsidR="00F7670D">
        <w:rPr>
          <w:rFonts w:cs="Arial"/>
          <w:color w:val="auto"/>
        </w:rPr>
        <w:t>(Sverige, Sveits).</w:t>
      </w:r>
      <w:r w:rsidR="00C855AB" w:rsidRPr="00C855AB">
        <w:rPr>
          <w:rFonts w:cs="Arial"/>
          <w:color w:val="auto"/>
        </w:rPr>
        <w:t xml:space="preserve"> </w:t>
      </w:r>
      <w:r>
        <w:rPr>
          <w:rFonts w:cs="Arial"/>
          <w:color w:val="auto"/>
        </w:rPr>
        <w:t>En</w:t>
      </w:r>
      <w:r w:rsidR="00C855AB" w:rsidRPr="00C855AB">
        <w:rPr>
          <w:rFonts w:cs="Arial"/>
          <w:color w:val="auto"/>
        </w:rPr>
        <w:t xml:space="preserve"> slik tjeneste </w:t>
      </w:r>
      <w:r w:rsidR="009F0433">
        <w:rPr>
          <w:rFonts w:cs="Arial"/>
          <w:color w:val="auto"/>
        </w:rPr>
        <w:t xml:space="preserve">kan </w:t>
      </w:r>
      <w:r>
        <w:rPr>
          <w:rFonts w:cs="Arial"/>
          <w:color w:val="auto"/>
        </w:rPr>
        <w:t xml:space="preserve">være finansiert </w:t>
      </w:r>
      <w:r w:rsidR="00C855AB" w:rsidRPr="00C855AB">
        <w:rPr>
          <w:rFonts w:cs="Arial"/>
          <w:color w:val="auto"/>
        </w:rPr>
        <w:t>via brukerbetaling</w:t>
      </w:r>
      <w:r w:rsidR="001B7E82">
        <w:rPr>
          <w:rFonts w:cs="Arial"/>
          <w:color w:val="auto"/>
        </w:rPr>
        <w:br/>
      </w:r>
    </w:p>
    <w:p w14:paraId="01682C04" w14:textId="61227D41" w:rsidR="00691865" w:rsidRDefault="00C855AB" w:rsidP="0056311E">
      <w:pPr>
        <w:pStyle w:val="Listeavsnitt"/>
        <w:numPr>
          <w:ilvl w:val="0"/>
          <w:numId w:val="49"/>
        </w:numPr>
        <w:ind w:left="720"/>
        <w:rPr>
          <w:rFonts w:cs="Arial"/>
          <w:color w:val="auto"/>
        </w:rPr>
      </w:pPr>
      <w:r w:rsidRPr="002463D0">
        <w:rPr>
          <w:rFonts w:cs="Arial"/>
          <w:color w:val="auto"/>
        </w:rPr>
        <w:t>Datadeling FAIR er en kompetanse som må utvikles i forskningsstøtte</w:t>
      </w:r>
      <w:r>
        <w:rPr>
          <w:rFonts w:cs="Arial"/>
          <w:color w:val="auto"/>
        </w:rPr>
        <w:t xml:space="preserve"> (Sveits)</w:t>
      </w:r>
      <w:r w:rsidRPr="002463D0">
        <w:rPr>
          <w:rFonts w:cs="Arial"/>
          <w:color w:val="auto"/>
        </w:rPr>
        <w:t xml:space="preserve">, og i dette </w:t>
      </w:r>
      <w:r w:rsidR="00E6406F">
        <w:rPr>
          <w:rFonts w:cs="Arial"/>
          <w:color w:val="auto"/>
        </w:rPr>
        <w:t>bør</w:t>
      </w:r>
      <w:r w:rsidRPr="002463D0">
        <w:rPr>
          <w:rFonts w:cs="Arial"/>
          <w:color w:val="auto"/>
        </w:rPr>
        <w:t xml:space="preserve"> bibliotekene trekkes inn (Danmark)</w:t>
      </w:r>
      <w:r w:rsidR="001B7E82">
        <w:rPr>
          <w:rFonts w:cs="Arial"/>
          <w:color w:val="auto"/>
        </w:rPr>
        <w:br/>
      </w:r>
    </w:p>
    <w:p w14:paraId="0D8666C0" w14:textId="3FBEDB6C" w:rsidR="00C855AB" w:rsidRPr="00EA07DF" w:rsidRDefault="00691865" w:rsidP="001B7E82">
      <w:pPr>
        <w:pStyle w:val="Listeavsnitt"/>
        <w:numPr>
          <w:ilvl w:val="0"/>
          <w:numId w:val="49"/>
        </w:numPr>
        <w:ind w:left="720"/>
        <w:rPr>
          <w:rFonts w:cs="Arial"/>
          <w:color w:val="auto"/>
        </w:rPr>
      </w:pPr>
      <w:r>
        <w:rPr>
          <w:rFonts w:cs="Arial"/>
          <w:color w:val="auto"/>
        </w:rPr>
        <w:lastRenderedPageBreak/>
        <w:t>NorCRIN jobber for å sikre nasjonal kapasitet for legemiddelproduksjon til blindede studier</w:t>
      </w:r>
      <w:r w:rsidR="00350652">
        <w:rPr>
          <w:rFonts w:cs="Arial"/>
          <w:color w:val="auto"/>
        </w:rPr>
        <w:t xml:space="preserve"> (ref. avsnitt 6.2.1.1)</w:t>
      </w:r>
      <w:r w:rsidR="00C855AB">
        <w:rPr>
          <w:rFonts w:cs="Arial"/>
          <w:color w:val="auto"/>
        </w:rPr>
        <w:br/>
      </w:r>
    </w:p>
    <w:p w14:paraId="5CEEC7F6" w14:textId="3F35174B" w:rsidR="00C855AB" w:rsidRPr="00C855AB" w:rsidRDefault="00C855AB" w:rsidP="00C8091E">
      <w:pPr>
        <w:pStyle w:val="Overskrift2"/>
      </w:pPr>
      <w:bookmarkStart w:id="27" w:name="_Toc192525159"/>
      <w:r>
        <w:t>Håndtering av studieforespørsler/f</w:t>
      </w:r>
      <w:r w:rsidRPr="00C855AB">
        <w:t>easibility</w:t>
      </w:r>
      <w:bookmarkEnd w:id="27"/>
    </w:p>
    <w:p w14:paraId="73077BC2" w14:textId="65CEAE4E" w:rsidR="009A40F1" w:rsidRPr="009A40F1" w:rsidRDefault="009A40F1" w:rsidP="009A40F1">
      <w:pPr>
        <w:rPr>
          <w:rFonts w:cs="Arial"/>
          <w:color w:val="auto"/>
        </w:rPr>
      </w:pPr>
      <w:r>
        <w:rPr>
          <w:rFonts w:cs="Arial"/>
          <w:color w:val="auto"/>
        </w:rPr>
        <w:t xml:space="preserve">AP11 anbefaler: </w:t>
      </w:r>
    </w:p>
    <w:p w14:paraId="26AA5702" w14:textId="5B7D5A8B" w:rsidR="00C855AB" w:rsidRDefault="00C855AB" w:rsidP="001B7E82">
      <w:pPr>
        <w:pStyle w:val="Listeavsnitt"/>
        <w:numPr>
          <w:ilvl w:val="0"/>
          <w:numId w:val="59"/>
        </w:numPr>
        <w:rPr>
          <w:rFonts w:cs="Arial"/>
          <w:color w:val="auto"/>
        </w:rPr>
      </w:pPr>
      <w:r w:rsidRPr="001527ED">
        <w:rPr>
          <w:rFonts w:cs="Arial"/>
          <w:color w:val="auto"/>
        </w:rPr>
        <w:t xml:space="preserve">Det utvikles en nasjonal tjeneste for studieforespørsler (feasibility) også for akademiske studier. I Sverige fins en nasjonal tjeneste, som dekker forespørsler fra industri og akademi - </w:t>
      </w:r>
      <w:proofErr w:type="spellStart"/>
      <w:r w:rsidRPr="001527ED">
        <w:rPr>
          <w:rFonts w:cs="Arial"/>
          <w:color w:val="auto"/>
        </w:rPr>
        <w:t>Feasibility</w:t>
      </w:r>
      <w:proofErr w:type="spellEnd"/>
      <w:r w:rsidRPr="001527ED">
        <w:rPr>
          <w:rStyle w:val="Hyperkobling"/>
          <w:rFonts w:cs="Arial"/>
          <w:color w:val="auto"/>
        </w:rPr>
        <w:t xml:space="preserve"> </w:t>
      </w:r>
      <w:proofErr w:type="spellStart"/>
      <w:r w:rsidRPr="001527ED">
        <w:rPr>
          <w:rStyle w:val="Hyperkobling"/>
          <w:rFonts w:cs="Arial"/>
          <w:color w:val="auto"/>
        </w:rPr>
        <w:t>Sweden</w:t>
      </w:r>
      <w:proofErr w:type="spellEnd"/>
      <w:r w:rsidRPr="001527ED">
        <w:rPr>
          <w:rFonts w:cs="Arial"/>
          <w:color w:val="auto"/>
        </w:rPr>
        <w:t xml:space="preserve">. Danske </w:t>
      </w:r>
      <w:hyperlink r:id="rId27" w:history="1">
        <w:proofErr w:type="spellStart"/>
        <w:r w:rsidRPr="001527ED">
          <w:rPr>
            <w:rStyle w:val="Hyperkobling"/>
            <w:rFonts w:cs="Arial"/>
            <w:color w:val="auto"/>
          </w:rPr>
          <w:t>TrialNation</w:t>
        </w:r>
        <w:proofErr w:type="spellEnd"/>
      </w:hyperlink>
      <w:r w:rsidRPr="001527ED">
        <w:rPr>
          <w:rFonts w:cs="Arial"/>
          <w:color w:val="auto"/>
        </w:rPr>
        <w:t xml:space="preserve"> er for legemiddel og med</w:t>
      </w:r>
      <w:r w:rsidR="00F7670D">
        <w:rPr>
          <w:rFonts w:cs="Arial"/>
          <w:color w:val="auto"/>
        </w:rPr>
        <w:t>.</w:t>
      </w:r>
      <w:r w:rsidRPr="001527ED">
        <w:rPr>
          <w:rFonts w:cs="Arial"/>
          <w:color w:val="auto"/>
        </w:rPr>
        <w:t xml:space="preserve"> utstyr </w:t>
      </w:r>
      <w:r>
        <w:rPr>
          <w:rFonts w:cs="Arial"/>
          <w:color w:val="auto"/>
        </w:rPr>
        <w:t xml:space="preserve">– og er et alternativ for </w:t>
      </w:r>
      <w:r w:rsidRPr="001527ED">
        <w:rPr>
          <w:rFonts w:cs="Arial"/>
          <w:color w:val="auto"/>
        </w:rPr>
        <w:t>studier helt eller delvis finansiert av industri</w:t>
      </w:r>
      <w:r w:rsidR="00C37A29">
        <w:rPr>
          <w:rFonts w:cs="Arial"/>
          <w:color w:val="auto"/>
        </w:rPr>
        <w:t xml:space="preserve"> (Sverige, Danmark)</w:t>
      </w:r>
      <w:r w:rsidR="00F7670D">
        <w:rPr>
          <w:rFonts w:cs="Arial"/>
          <w:color w:val="auto"/>
        </w:rPr>
        <w:t>.</w:t>
      </w:r>
      <w:r w:rsidR="001B7E82">
        <w:rPr>
          <w:rFonts w:cs="Arial"/>
          <w:color w:val="auto"/>
        </w:rPr>
        <w:br/>
      </w:r>
    </w:p>
    <w:p w14:paraId="28913EC5" w14:textId="2FFD42AA" w:rsidR="00C855AB" w:rsidRDefault="00C855AB" w:rsidP="001B7E82">
      <w:pPr>
        <w:pStyle w:val="Listeavsnitt"/>
        <w:numPr>
          <w:ilvl w:val="0"/>
          <w:numId w:val="59"/>
        </w:numPr>
        <w:rPr>
          <w:color w:val="auto"/>
        </w:rPr>
      </w:pPr>
      <w:r w:rsidRPr="00A717B3">
        <w:rPr>
          <w:color w:val="auto"/>
        </w:rPr>
        <w:t xml:space="preserve">Det bør bli felles nasjonal praksis at feasibility kan gjøres ved søk på diagnosekoder og oppslag i journal for å finne pasienter til kliniske studier. Og opprettes flere </w:t>
      </w:r>
      <w:r w:rsidR="001B7E82">
        <w:rPr>
          <w:color w:val="auto"/>
        </w:rPr>
        <w:t>lokale behandlings</w:t>
      </w:r>
      <w:r w:rsidRPr="00A717B3">
        <w:rPr>
          <w:color w:val="auto"/>
        </w:rPr>
        <w:t>registre</w:t>
      </w:r>
      <w:r w:rsidR="00C37A29">
        <w:rPr>
          <w:color w:val="auto"/>
        </w:rPr>
        <w:t xml:space="preserve"> (ref. avsnitt 6.2.1.2)</w:t>
      </w:r>
      <w:r w:rsidR="001B7E82">
        <w:rPr>
          <w:color w:val="auto"/>
        </w:rPr>
        <w:t>.</w:t>
      </w:r>
      <w:r w:rsidR="001B7E82">
        <w:rPr>
          <w:color w:val="auto"/>
        </w:rPr>
        <w:br/>
      </w:r>
    </w:p>
    <w:p w14:paraId="0D18B089" w14:textId="77777777" w:rsidR="009A40F1" w:rsidRPr="009A40F1" w:rsidRDefault="009A40F1" w:rsidP="009A40F1">
      <w:pPr>
        <w:rPr>
          <w:color w:val="auto"/>
        </w:rPr>
      </w:pPr>
    </w:p>
    <w:p w14:paraId="1E551FEE" w14:textId="3870DE9D" w:rsidR="00691865" w:rsidRPr="001B7E82" w:rsidRDefault="00691865" w:rsidP="00C8091E">
      <w:pPr>
        <w:pStyle w:val="Overskrift2"/>
      </w:pPr>
      <w:bookmarkStart w:id="28" w:name="_Toc192525160"/>
      <w:r w:rsidRPr="001B7E82">
        <w:t>Kurs og opplæring</w:t>
      </w:r>
      <w:bookmarkEnd w:id="28"/>
      <w:r w:rsidRPr="001B7E82">
        <w:t xml:space="preserve"> </w:t>
      </w:r>
    </w:p>
    <w:p w14:paraId="4A2D1E34" w14:textId="7C92C53B" w:rsidR="003B010C" w:rsidRDefault="009A40F1">
      <w:pPr>
        <w:rPr>
          <w:rFonts w:cs="Arial"/>
          <w:color w:val="auto"/>
        </w:rPr>
      </w:pPr>
      <w:r>
        <w:rPr>
          <w:rFonts w:cs="Arial"/>
          <w:color w:val="auto"/>
        </w:rPr>
        <w:t>Ap11 an</w:t>
      </w:r>
      <w:r w:rsidR="00817E10">
        <w:rPr>
          <w:rFonts w:cs="Arial"/>
          <w:color w:val="auto"/>
        </w:rPr>
        <w:t>befaler at:</w:t>
      </w:r>
    </w:p>
    <w:p w14:paraId="14BF6751" w14:textId="62B80F3A" w:rsidR="001C367A" w:rsidRPr="00691865" w:rsidRDefault="001C367A" w:rsidP="001C367A">
      <w:pPr>
        <w:pStyle w:val="Listeavsnitt"/>
        <w:numPr>
          <w:ilvl w:val="0"/>
          <w:numId w:val="56"/>
        </w:numPr>
        <w:rPr>
          <w:rFonts w:cs="Arial"/>
          <w:color w:val="auto"/>
        </w:rPr>
      </w:pPr>
      <w:r>
        <w:rPr>
          <w:rFonts w:cs="Arial"/>
          <w:color w:val="auto"/>
        </w:rPr>
        <w:t>Det utvikles kurs om prosjektledelse og koordinering i kliniske studier</w:t>
      </w:r>
      <w:r w:rsidR="00CD346B">
        <w:rPr>
          <w:rFonts w:cs="Arial"/>
          <w:color w:val="auto"/>
        </w:rPr>
        <w:t xml:space="preserve"> (</w:t>
      </w:r>
      <w:r w:rsidR="002C4976">
        <w:rPr>
          <w:rFonts w:cs="Arial"/>
          <w:color w:val="auto"/>
        </w:rPr>
        <w:t>d</w:t>
      </w:r>
      <w:r w:rsidR="00C37A29">
        <w:rPr>
          <w:rFonts w:cs="Arial"/>
          <w:color w:val="auto"/>
        </w:rPr>
        <w:t xml:space="preserve">elvis i gang i Norge allerede, </w:t>
      </w:r>
      <w:r w:rsidR="00CD346B">
        <w:rPr>
          <w:rFonts w:cs="Arial"/>
          <w:color w:val="auto"/>
        </w:rPr>
        <w:t>ref. avsnitt 6.2.1.1)</w:t>
      </w:r>
      <w:r w:rsidR="002C4976">
        <w:rPr>
          <w:rFonts w:cs="Arial"/>
          <w:color w:val="auto"/>
        </w:rPr>
        <w:t>.</w:t>
      </w:r>
      <w:r>
        <w:rPr>
          <w:rFonts w:cs="Arial"/>
          <w:color w:val="auto"/>
        </w:rPr>
        <w:br/>
      </w:r>
    </w:p>
    <w:p w14:paraId="42B6A4AF" w14:textId="0B4B681C" w:rsidR="00691865" w:rsidRPr="00691865" w:rsidRDefault="00691865" w:rsidP="00691865">
      <w:pPr>
        <w:pStyle w:val="Listeavsnitt"/>
        <w:numPr>
          <w:ilvl w:val="0"/>
          <w:numId w:val="56"/>
        </w:numPr>
        <w:rPr>
          <w:rFonts w:cs="Arial"/>
          <w:color w:val="auto"/>
        </w:rPr>
      </w:pPr>
      <w:r w:rsidRPr="00691865">
        <w:rPr>
          <w:rFonts w:cs="Arial"/>
          <w:color w:val="auto"/>
        </w:rPr>
        <w:t>Det utvikles kurs for klinikkledere om kliniske studier (Sverige)</w:t>
      </w:r>
      <w:r w:rsidR="001B7E82">
        <w:rPr>
          <w:rFonts w:cs="Arial"/>
          <w:color w:val="auto"/>
        </w:rPr>
        <w:br/>
      </w:r>
    </w:p>
    <w:p w14:paraId="73D8A264" w14:textId="5099FD2A" w:rsidR="00691865" w:rsidRPr="00691865" w:rsidRDefault="00691865" w:rsidP="00691865">
      <w:pPr>
        <w:pStyle w:val="Listeavsnitt"/>
        <w:numPr>
          <w:ilvl w:val="0"/>
          <w:numId w:val="56"/>
        </w:numPr>
        <w:rPr>
          <w:rFonts w:cs="Arial"/>
          <w:color w:val="auto"/>
        </w:rPr>
      </w:pPr>
      <w:r w:rsidRPr="00691865">
        <w:rPr>
          <w:rFonts w:cs="Arial"/>
          <w:color w:val="auto"/>
        </w:rPr>
        <w:t>Det utvikles kurs for nye forskere om forskningsstøttes tilbud (</w:t>
      </w:r>
      <w:r w:rsidR="002C4976">
        <w:rPr>
          <w:rFonts w:cs="Arial"/>
          <w:color w:val="auto"/>
        </w:rPr>
        <w:t>d</w:t>
      </w:r>
      <w:r w:rsidR="00C37A29">
        <w:rPr>
          <w:rFonts w:cs="Arial"/>
          <w:color w:val="auto"/>
        </w:rPr>
        <w:t xml:space="preserve">elvis i gang i Norge allerede, </w:t>
      </w:r>
      <w:r w:rsidRPr="00691865">
        <w:rPr>
          <w:rFonts w:cs="Arial"/>
          <w:color w:val="auto"/>
        </w:rPr>
        <w:t>Danmark)</w:t>
      </w:r>
      <w:r w:rsidR="002C4976">
        <w:rPr>
          <w:rFonts w:cs="Arial"/>
          <w:color w:val="auto"/>
        </w:rPr>
        <w:t>.</w:t>
      </w:r>
      <w:r w:rsidR="001B7E82">
        <w:rPr>
          <w:rFonts w:cs="Arial"/>
          <w:color w:val="auto"/>
        </w:rPr>
        <w:br/>
      </w:r>
    </w:p>
    <w:p w14:paraId="58DAC7D8" w14:textId="735F3CBA" w:rsidR="00691865" w:rsidRDefault="00691865" w:rsidP="00691865">
      <w:pPr>
        <w:pStyle w:val="Listeavsnitt"/>
        <w:numPr>
          <w:ilvl w:val="0"/>
          <w:numId w:val="56"/>
        </w:numPr>
        <w:rPr>
          <w:rFonts w:cs="Arial"/>
          <w:color w:val="auto"/>
        </w:rPr>
      </w:pPr>
      <w:r w:rsidRPr="00691865">
        <w:rPr>
          <w:rFonts w:cs="Arial"/>
          <w:color w:val="auto"/>
        </w:rPr>
        <w:t>Det utvikles PhD-kurs om kliniske studier, for å øke kunnskapen om og interessen for kliniske studier i sykehusene (Danmark, Sveits, Tyskland)</w:t>
      </w:r>
      <w:r w:rsidR="002C4976">
        <w:rPr>
          <w:rFonts w:cs="Arial"/>
          <w:color w:val="auto"/>
        </w:rPr>
        <w:t>.</w:t>
      </w:r>
      <w:r w:rsidR="008C594A">
        <w:rPr>
          <w:rFonts w:cs="Arial"/>
          <w:color w:val="auto"/>
        </w:rPr>
        <w:br/>
      </w:r>
    </w:p>
    <w:p w14:paraId="477E072B" w14:textId="77777777" w:rsidR="00C855AB" w:rsidRDefault="00C855AB" w:rsidP="00C855AB">
      <w:pPr>
        <w:pStyle w:val="Listeavsnitt"/>
        <w:ind w:left="360"/>
        <w:rPr>
          <w:rFonts w:cs="Arial"/>
          <w:color w:val="auto"/>
        </w:rPr>
      </w:pPr>
    </w:p>
    <w:p w14:paraId="037909C9" w14:textId="0A214AEF" w:rsidR="00C855AB" w:rsidRPr="001B7E82" w:rsidRDefault="00C855AB" w:rsidP="00C8091E">
      <w:pPr>
        <w:pStyle w:val="Overskrift2"/>
      </w:pPr>
      <w:bookmarkStart w:id="29" w:name="_Toc192525161"/>
      <w:r w:rsidRPr="001B7E82">
        <w:t>Internkontroll</w:t>
      </w:r>
      <w:r w:rsidR="00502CE3">
        <w:t>/kvalitet</w:t>
      </w:r>
      <w:bookmarkEnd w:id="29"/>
    </w:p>
    <w:p w14:paraId="514807EE" w14:textId="43B3B1F7" w:rsidR="00817E10" w:rsidRPr="00817E10" w:rsidRDefault="00817E10" w:rsidP="00817E10">
      <w:r>
        <w:t>AP11 anbefaler at:</w:t>
      </w:r>
    </w:p>
    <w:p w14:paraId="2D9316D0" w14:textId="4D0B9B0C" w:rsidR="00502CE3" w:rsidRDefault="00502CE3" w:rsidP="00502CE3">
      <w:pPr>
        <w:pStyle w:val="Listeavsnitt"/>
        <w:numPr>
          <w:ilvl w:val="0"/>
          <w:numId w:val="54"/>
        </w:numPr>
      </w:pPr>
      <w:r>
        <w:t xml:space="preserve">Det etableres protokoll/forskningsutvalg i klinikker/tilsvarende enheter, som sikrer god vitenskapelig relevans og at det er ressurser (personell, </w:t>
      </w:r>
      <w:proofErr w:type="gramStart"/>
      <w:r>
        <w:t>tid,</w:t>
      </w:r>
      <w:proofErr w:type="gramEnd"/>
      <w:r>
        <w:t xml:space="preserve"> budsjett) til den aktuelle kliniske studien (</w:t>
      </w:r>
      <w:r w:rsidR="002C4976">
        <w:t>d</w:t>
      </w:r>
      <w:r w:rsidR="00CD346B">
        <w:t>els implementert i Norge allerede</w:t>
      </w:r>
      <w:r w:rsidR="002C4976">
        <w:t>,</w:t>
      </w:r>
      <w:r w:rsidR="00CD346B">
        <w:t xml:space="preserve"> </w:t>
      </w:r>
      <w:r>
        <w:t>Danmark, Sveits)</w:t>
      </w:r>
      <w:r w:rsidR="002C4976">
        <w:t>.</w:t>
      </w:r>
      <w:r>
        <w:br/>
      </w:r>
    </w:p>
    <w:p w14:paraId="557911CD" w14:textId="0AC39CFA" w:rsidR="00C855AB" w:rsidRPr="00C855AB" w:rsidRDefault="00C855AB" w:rsidP="00C855AB">
      <w:pPr>
        <w:pStyle w:val="Listeavsnitt"/>
        <w:numPr>
          <w:ilvl w:val="0"/>
          <w:numId w:val="54"/>
        </w:numPr>
        <w:rPr>
          <w:rFonts w:cs="Arial"/>
          <w:color w:val="auto"/>
        </w:rPr>
      </w:pPr>
      <w:r w:rsidRPr="00C855AB">
        <w:rPr>
          <w:rFonts w:cs="Arial"/>
          <w:color w:val="auto"/>
        </w:rPr>
        <w:t xml:space="preserve">NorCRIN bidrar til å utdanne personell (i forskningsstøtte eller i andre miljøer i sykehuset) som kan gjøre flere </w:t>
      </w:r>
      <w:proofErr w:type="spellStart"/>
      <w:r w:rsidRPr="00C855AB">
        <w:rPr>
          <w:rFonts w:cs="Arial"/>
          <w:color w:val="auto"/>
        </w:rPr>
        <w:t>audits</w:t>
      </w:r>
      <w:proofErr w:type="spellEnd"/>
      <w:r w:rsidRPr="00C855AB">
        <w:rPr>
          <w:rFonts w:cs="Arial"/>
          <w:color w:val="auto"/>
        </w:rPr>
        <w:t>/interne inspeksjoner i kliniske studier, spesielt studier som ikke involverer legemidler eller medisinsk utstyr, som derfor ikke har lovpålagt monitorering (</w:t>
      </w:r>
      <w:r w:rsidR="005F7727">
        <w:rPr>
          <w:rFonts w:cs="Arial"/>
          <w:color w:val="auto"/>
        </w:rPr>
        <w:t xml:space="preserve">ref. avsnitt 6.2.3, </w:t>
      </w:r>
      <w:r w:rsidR="002C4976">
        <w:rPr>
          <w:rFonts w:cs="Arial"/>
          <w:color w:val="auto"/>
        </w:rPr>
        <w:t xml:space="preserve">initiativ er i gang i Helse Vest, </w:t>
      </w:r>
      <w:r w:rsidRPr="00C855AB">
        <w:rPr>
          <w:rFonts w:cs="Arial"/>
          <w:color w:val="auto"/>
        </w:rPr>
        <w:t>Sverige, Sveits)</w:t>
      </w:r>
      <w:r w:rsidR="002C4976">
        <w:rPr>
          <w:rFonts w:cs="Arial"/>
          <w:color w:val="auto"/>
        </w:rPr>
        <w:t>.</w:t>
      </w:r>
    </w:p>
    <w:p w14:paraId="6B784A58" w14:textId="04E69C09" w:rsidR="00155851" w:rsidRDefault="00155851" w:rsidP="00821450"/>
    <w:p w14:paraId="00C9134D" w14:textId="46A8234A" w:rsidR="00155851" w:rsidRDefault="00381ED9" w:rsidP="00381ED9">
      <w:pPr>
        <w:pStyle w:val="Overskrift2"/>
      </w:pPr>
      <w:bookmarkStart w:id="30" w:name="_Toc192525162"/>
      <w:r>
        <w:lastRenderedPageBreak/>
        <w:t>Organisering og samarbeid</w:t>
      </w:r>
      <w:r w:rsidR="00691865">
        <w:t xml:space="preserve">, lokalt, </w:t>
      </w:r>
      <w:proofErr w:type="gramStart"/>
      <w:r w:rsidR="00691865">
        <w:t>regionalt,</w:t>
      </w:r>
      <w:proofErr w:type="gramEnd"/>
      <w:r w:rsidR="00691865">
        <w:t xml:space="preserve"> nasjonalt</w:t>
      </w:r>
      <w:bookmarkEnd w:id="30"/>
    </w:p>
    <w:p w14:paraId="70EC2AF6" w14:textId="1EC73E80" w:rsidR="001B7E82" w:rsidRPr="00703E39" w:rsidRDefault="00831B16" w:rsidP="00703E39">
      <w:pPr>
        <w:rPr>
          <w:rFonts w:cs="Arial"/>
          <w:color w:val="auto"/>
        </w:rPr>
      </w:pPr>
      <w:r>
        <w:rPr>
          <w:rFonts w:cs="Arial"/>
          <w:color w:val="auto"/>
        </w:rPr>
        <w:t xml:space="preserve">AP11 anbefaler at: </w:t>
      </w:r>
    </w:p>
    <w:p w14:paraId="66A3C698" w14:textId="7BB8AC61" w:rsidR="00691865" w:rsidRPr="00691865" w:rsidRDefault="00DE4B6B" w:rsidP="00691865">
      <w:pPr>
        <w:pStyle w:val="Listeavsnitt"/>
        <w:numPr>
          <w:ilvl w:val="0"/>
          <w:numId w:val="57"/>
        </w:numPr>
        <w:rPr>
          <w:rFonts w:cs="Arial"/>
          <w:color w:val="auto"/>
        </w:rPr>
      </w:pPr>
      <w:r>
        <w:t>M</w:t>
      </w:r>
      <w:r w:rsidR="006E47F4">
        <w:t>an har et regionalt perspektiv på tjenestene fra admin</w:t>
      </w:r>
      <w:r w:rsidR="00D64707">
        <w:t>istrativ</w:t>
      </w:r>
      <w:r w:rsidR="006E47F4">
        <w:t xml:space="preserve"> forskningsstøtte, </w:t>
      </w:r>
      <w:r w:rsidR="00242AF8">
        <w:t xml:space="preserve">jfr. tabellene over, </w:t>
      </w:r>
      <w:r w:rsidR="006E47F4">
        <w:t xml:space="preserve">dvs. at man innenfor hver region har </w:t>
      </w:r>
      <w:r w:rsidR="00D937DA">
        <w:t>tilgang på</w:t>
      </w:r>
      <w:r w:rsidR="006E47F4">
        <w:t xml:space="preserve"> kompetanse på </w:t>
      </w:r>
      <w:r w:rsidR="005972B0">
        <w:t>alle viktige områder. Slik kom</w:t>
      </w:r>
      <w:r w:rsidR="00755756">
        <w:t>p</w:t>
      </w:r>
      <w:r w:rsidR="005972B0">
        <w:t>etanse trenge</w:t>
      </w:r>
      <w:r w:rsidR="00755756">
        <w:t xml:space="preserve">r altså ikke sitte i samme </w:t>
      </w:r>
      <w:r w:rsidR="00D937DA">
        <w:t xml:space="preserve">fysiske </w:t>
      </w:r>
      <w:r w:rsidR="00755756">
        <w:t>enhet</w:t>
      </w:r>
      <w:r w:rsidR="00B577D1">
        <w:t>/sykehus/HF</w:t>
      </w:r>
      <w:r w:rsidR="00755756">
        <w:t>, men regionen bør samlet ha en slik kompetanse. En slik konfi</w:t>
      </w:r>
      <w:r w:rsidR="00691865">
        <w:t xml:space="preserve">gurasjon åpner også for at </w:t>
      </w:r>
      <w:r w:rsidR="00691865" w:rsidRPr="00691865">
        <w:t>admin</w:t>
      </w:r>
      <w:r w:rsidR="00D64707">
        <w:t>istrativ</w:t>
      </w:r>
      <w:r w:rsidR="00755756">
        <w:t xml:space="preserve"> forsk</w:t>
      </w:r>
      <w:r w:rsidR="00B577D1">
        <w:t>nings</w:t>
      </w:r>
      <w:r w:rsidR="00755756">
        <w:t>støtte kan innhente ytterligere kapasitet fra andre helseregioner, og på den måten tilføre egen region nødvendig kapasitet</w:t>
      </w:r>
      <w:r w:rsidR="002C4976">
        <w:t xml:space="preserve"> (dels implementert i Norge allerede, Sverige)</w:t>
      </w:r>
      <w:r w:rsidR="00755756">
        <w:t>.</w:t>
      </w:r>
      <w:r w:rsidR="00691865">
        <w:br/>
      </w:r>
    </w:p>
    <w:p w14:paraId="30B45C1D" w14:textId="020AABB5" w:rsidR="00691865" w:rsidRPr="00502CE3" w:rsidRDefault="00DE4B6B" w:rsidP="00502CE3">
      <w:pPr>
        <w:pStyle w:val="Listeavsnitt"/>
        <w:numPr>
          <w:ilvl w:val="0"/>
          <w:numId w:val="57"/>
        </w:numPr>
        <w:rPr>
          <w:rFonts w:cs="Arial"/>
          <w:color w:val="auto"/>
        </w:rPr>
      </w:pPr>
      <w:r>
        <w:t>Det etableres</w:t>
      </w:r>
      <w:r w:rsidR="00755756">
        <w:t xml:space="preserve"> </w:t>
      </w:r>
      <w:r w:rsidR="00251921">
        <w:t xml:space="preserve">regelmessige </w:t>
      </w:r>
      <w:r w:rsidR="00691865">
        <w:t xml:space="preserve">regionale kontaktmøter, både overordnet og operativt, mellom lokal og regional </w:t>
      </w:r>
      <w:r w:rsidR="00251921">
        <w:t xml:space="preserve">forskningsstøtte, </w:t>
      </w:r>
      <w:r w:rsidR="00755756">
        <w:t xml:space="preserve">der man avklarer </w:t>
      </w:r>
      <w:r w:rsidR="00251921">
        <w:t>samlet regional kapasitet, og kartlegger ulike enheters kompetans</w:t>
      </w:r>
      <w:r w:rsidR="00C81342">
        <w:t>e</w:t>
      </w:r>
      <w:r w:rsidR="00251921">
        <w:t xml:space="preserve">, og </w:t>
      </w:r>
      <w:r w:rsidR="00F4112C">
        <w:t xml:space="preserve">identifiserer og </w:t>
      </w:r>
      <w:r w:rsidR="00251921">
        <w:t>avtaler hvordan nye områder skal utvikles og dekkes</w:t>
      </w:r>
      <w:r w:rsidR="00F4112C">
        <w:t xml:space="preserve"> (</w:t>
      </w:r>
      <w:r w:rsidR="002C4976">
        <w:t>s</w:t>
      </w:r>
      <w:r w:rsidR="00CD346B">
        <w:t xml:space="preserve">like møter er i gang i flere helseregioner, </w:t>
      </w:r>
      <w:r w:rsidR="00F4112C">
        <w:t>Sverige, Danmark)</w:t>
      </w:r>
      <w:r w:rsidR="00251921">
        <w:t>.</w:t>
      </w:r>
      <w:r w:rsidR="00691865">
        <w:br/>
      </w:r>
    </w:p>
    <w:p w14:paraId="10FE1ED8" w14:textId="6E69FAEB" w:rsidR="00C8091E" w:rsidRPr="00C8091E" w:rsidRDefault="00DE4B6B" w:rsidP="00C8091E">
      <w:pPr>
        <w:pStyle w:val="Listeavsnitt"/>
        <w:numPr>
          <w:ilvl w:val="0"/>
          <w:numId w:val="57"/>
        </w:numPr>
        <w:rPr>
          <w:rFonts w:cs="Arial"/>
          <w:color w:val="auto"/>
        </w:rPr>
      </w:pPr>
      <w:r>
        <w:t>Innen prosjektperioden for NorCRIN er slutt, etableres et permanent</w:t>
      </w:r>
      <w:r w:rsidR="00D937DA">
        <w:t xml:space="preserve"> </w:t>
      </w:r>
      <w:r w:rsidR="00691865">
        <w:t xml:space="preserve">faglig nettverk med et </w:t>
      </w:r>
      <w:r w:rsidR="00D937DA">
        <w:t xml:space="preserve">sekretariat med oppdrag </w:t>
      </w:r>
      <w:r>
        <w:t xml:space="preserve">å </w:t>
      </w:r>
      <w:r w:rsidR="00903460">
        <w:t>representere</w:t>
      </w:r>
      <w:r>
        <w:t xml:space="preserve"> forsknings</w:t>
      </w:r>
      <w:r w:rsidR="00847E63">
        <w:t>støtte</w:t>
      </w:r>
      <w:r>
        <w:t xml:space="preserve">enheter overfor utlandet, og sørge for en hensiktsmessig grad av koordinering </w:t>
      </w:r>
      <w:r w:rsidR="008579F8">
        <w:t xml:space="preserve">og faglig videreutvikling </w:t>
      </w:r>
      <w:r>
        <w:t xml:space="preserve">mellom enheter i Norge og </w:t>
      </w:r>
      <w:r w:rsidR="00502CE3">
        <w:t xml:space="preserve">mellom enhetene i Norge og </w:t>
      </w:r>
      <w:r>
        <w:t>tilsvarende enheter i Norden og utlandet</w:t>
      </w:r>
      <w:r w:rsidR="00903460">
        <w:t xml:space="preserve"> </w:t>
      </w:r>
      <w:proofErr w:type="gramStart"/>
      <w:r w:rsidR="00903460">
        <w:t>forøvrig</w:t>
      </w:r>
      <w:proofErr w:type="gramEnd"/>
      <w:r>
        <w:t xml:space="preserve"> </w:t>
      </w:r>
      <w:r w:rsidR="00903460">
        <w:t>(Sveits, UK)</w:t>
      </w:r>
      <w:r w:rsidR="002C4976">
        <w:t>.</w:t>
      </w:r>
    </w:p>
    <w:p w14:paraId="46F37B51" w14:textId="3CC257AF" w:rsidR="00C8091E" w:rsidRPr="00C8091E" w:rsidRDefault="001E1B8F" w:rsidP="00C8091E">
      <w:pPr>
        <w:pStyle w:val="Listeavsnitt"/>
        <w:numPr>
          <w:ilvl w:val="1"/>
          <w:numId w:val="57"/>
        </w:numPr>
        <w:rPr>
          <w:rFonts w:cs="Arial"/>
          <w:color w:val="auto"/>
        </w:rPr>
      </w:pPr>
      <w:r>
        <w:t>Enheten etablerer egen nettside som lenker til alle andre enheter i nasjonal infrastruktur for forskningsstøtte</w:t>
      </w:r>
      <w:r w:rsidR="002C4976">
        <w:t xml:space="preserve"> (her har NorTrials gjort viktig arbeid, så vel som Inven2, og dette må </w:t>
      </w:r>
      <w:r w:rsidR="004231A7">
        <w:t>man</w:t>
      </w:r>
      <w:r w:rsidR="002C4976">
        <w:t xml:space="preserve"> bygge videre på</w:t>
      </w:r>
      <w:r w:rsidR="004231A7">
        <w:t xml:space="preserve"> for akademiske studier</w:t>
      </w:r>
      <w:r w:rsidR="002C4976">
        <w:t>).</w:t>
      </w:r>
      <w:r w:rsidR="00C8091E">
        <w:br/>
      </w:r>
    </w:p>
    <w:p w14:paraId="22A37D46" w14:textId="03E96585" w:rsidR="001B7E82" w:rsidRPr="00C8091E" w:rsidRDefault="00C8091E" w:rsidP="001B7E82">
      <w:pPr>
        <w:pStyle w:val="Listeavsnitt"/>
        <w:numPr>
          <w:ilvl w:val="0"/>
          <w:numId w:val="57"/>
        </w:numPr>
        <w:rPr>
          <w:rFonts w:cs="Arial"/>
          <w:color w:val="auto"/>
        </w:rPr>
      </w:pPr>
      <w:r w:rsidRPr="00C8091E">
        <w:rPr>
          <w:rFonts w:cs="Arial"/>
          <w:color w:val="auto"/>
        </w:rPr>
        <w:t>Bibliotekene knyttes nærmere til forskningsstøtte, og presenteres som en del av forskningsstøtte (gjerne ved virtuell organisering, understøttet av noe tettere koordinering, og ved at man trekker på hverandre i kurs, osv</w:t>
      </w:r>
      <w:r w:rsidR="00CD346B">
        <w:rPr>
          <w:rFonts w:cs="Arial"/>
          <w:color w:val="auto"/>
        </w:rPr>
        <w:t>.</w:t>
      </w:r>
      <w:r w:rsidRPr="00C8091E">
        <w:rPr>
          <w:rFonts w:cs="Arial"/>
          <w:color w:val="auto"/>
        </w:rPr>
        <w:t>)</w:t>
      </w:r>
      <w:r w:rsidR="00CD346B">
        <w:rPr>
          <w:rFonts w:cs="Arial"/>
          <w:color w:val="auto"/>
        </w:rPr>
        <w:t xml:space="preserve"> (Sverige)</w:t>
      </w:r>
      <w:r w:rsidRPr="00C8091E">
        <w:rPr>
          <w:rFonts w:cs="Arial"/>
          <w:color w:val="auto"/>
        </w:rPr>
        <w:br/>
      </w:r>
    </w:p>
    <w:p w14:paraId="091D3EBB" w14:textId="216B3F6C" w:rsidR="00F95D03" w:rsidRDefault="00F95D03" w:rsidP="00F95D03">
      <w:pPr>
        <w:pStyle w:val="Overskrift2"/>
      </w:pPr>
      <w:bookmarkStart w:id="31" w:name="_Toc192525163"/>
      <w:r>
        <w:t>Roller</w:t>
      </w:r>
      <w:bookmarkEnd w:id="31"/>
    </w:p>
    <w:p w14:paraId="41FC4CD2" w14:textId="3FEDA488" w:rsidR="00F95D03" w:rsidRPr="00F4112C" w:rsidRDefault="00F95D03" w:rsidP="00F95D03">
      <w:r w:rsidRPr="00F4112C">
        <w:t xml:space="preserve">Opprinnelig </w:t>
      </w:r>
      <w:r w:rsidR="00101BA7">
        <w:t xml:space="preserve">intensjon var at vi </w:t>
      </w:r>
      <w:r>
        <w:t>i</w:t>
      </w:r>
      <w:r w:rsidRPr="00F4112C">
        <w:t xml:space="preserve"> lys av behov for tjenester, og hva en internasjonal samarbeidspartner vil forvente å finne, </w:t>
      </w:r>
      <w:r>
        <w:t xml:space="preserve">skulle utdype </w:t>
      </w:r>
      <w:r w:rsidRPr="00F4112C">
        <w:t xml:space="preserve">hvilke roller </w:t>
      </w:r>
      <w:r w:rsidR="008C594A">
        <w:t xml:space="preserve">(eksempelvis studiesykepleier, statistiker, bioingeniør) </w:t>
      </w:r>
      <w:r>
        <w:t xml:space="preserve">som </w:t>
      </w:r>
      <w:r w:rsidRPr="00F4112C">
        <w:t>er viktig</w:t>
      </w:r>
      <w:r>
        <w:t>(e)</w:t>
      </w:r>
      <w:r w:rsidRPr="00F4112C">
        <w:t xml:space="preserve"> og må styrkes, </w:t>
      </w:r>
      <w:r>
        <w:t xml:space="preserve">og </w:t>
      </w:r>
      <w:r w:rsidRPr="00F4112C">
        <w:t>hvilken kompetanse kreves for å inneha rollen</w:t>
      </w:r>
      <w:r>
        <w:t xml:space="preserve">. </w:t>
      </w:r>
    </w:p>
    <w:p w14:paraId="343BFE6C" w14:textId="7434DD3A" w:rsidR="00E6406F" w:rsidRDefault="00F95D03" w:rsidP="001B7E82">
      <w:r>
        <w:t xml:space="preserve">Av hensyn til fremdrift, </w:t>
      </w:r>
      <w:r w:rsidR="00E6406F">
        <w:t>har vi utsatt å gå dypere inn i denne tematikken</w:t>
      </w:r>
      <w:r w:rsidR="0056311E">
        <w:t>,</w:t>
      </w:r>
      <w:r w:rsidR="00E6406F">
        <w:t xml:space="preserve"> </w:t>
      </w:r>
      <w:r>
        <w:t xml:space="preserve">og </w:t>
      </w:r>
      <w:r w:rsidR="0056311E">
        <w:t xml:space="preserve">AP11 </w:t>
      </w:r>
      <w:r>
        <w:t>kan heller ta opp igjen dette arbeidet hvis senere innspill tilsier at det er ønskelig og nyttig</w:t>
      </w:r>
      <w:r w:rsidR="00E6406F">
        <w:t>.</w:t>
      </w:r>
    </w:p>
    <w:p w14:paraId="7B58FE89" w14:textId="7AE1FEAB" w:rsidR="00E6406F" w:rsidRDefault="00E6406F" w:rsidP="001B7E82">
      <w:r>
        <w:t xml:space="preserve">AP11 ønsker likevel </w:t>
      </w:r>
      <w:r w:rsidR="0056311E">
        <w:t xml:space="preserve">å </w:t>
      </w:r>
      <w:r w:rsidR="00831B16">
        <w:t xml:space="preserve">anbefale </w:t>
      </w:r>
      <w:r w:rsidR="0056311E">
        <w:t>é</w:t>
      </w:r>
      <w:r>
        <w:t>n ny rolle:</w:t>
      </w:r>
    </w:p>
    <w:p w14:paraId="372289F4" w14:textId="3DFFA5BA" w:rsidR="00F95D03" w:rsidRDefault="00E6406F" w:rsidP="00D64707">
      <w:pPr>
        <w:pStyle w:val="Listeavsnitt"/>
        <w:numPr>
          <w:ilvl w:val="0"/>
          <w:numId w:val="60"/>
        </w:numPr>
      </w:pPr>
      <w:r w:rsidRPr="00A45968">
        <w:t xml:space="preserve">Forskningsstøtte utvikler </w:t>
      </w:r>
      <w:r w:rsidR="008E13AE" w:rsidRPr="00A45968">
        <w:t>medarbeidere med prosjektleder</w:t>
      </w:r>
      <w:r w:rsidR="0056311E" w:rsidRPr="00A45968">
        <w:t>-</w:t>
      </w:r>
      <w:r w:rsidR="008E13AE" w:rsidRPr="00A45968">
        <w:t xml:space="preserve"> og prosjektadministrativ kompetanse,</w:t>
      </w:r>
      <w:r w:rsidR="008E13AE">
        <w:t xml:space="preserve"> som kan </w:t>
      </w:r>
      <w:r>
        <w:t xml:space="preserve">påta seg å </w:t>
      </w:r>
      <w:r w:rsidR="008E13AE">
        <w:t xml:space="preserve">støtte sponsor/forskningsansvarlig institusjon i å </w:t>
      </w:r>
      <w:r>
        <w:t xml:space="preserve">ivareta </w:t>
      </w:r>
      <w:r w:rsidR="008E13AE">
        <w:t xml:space="preserve">oppgavene som tilligger sponsor. </w:t>
      </w:r>
      <w:r w:rsidR="0056311E">
        <w:t>Medarbeidere i en</w:t>
      </w:r>
      <w:r w:rsidR="008E13AE">
        <w:t xml:space="preserve"> slik rolle må ha god erfaring med kliniske studier, og vil avlaste utprøver/koordinerende utprøver, som i mange tilfeller ivaretar sponsoroppgavene i dag.</w:t>
      </w:r>
    </w:p>
    <w:p w14:paraId="56E8243E" w14:textId="5BD8E957" w:rsidR="00C8091E" w:rsidRDefault="00C8091E" w:rsidP="001B7E82"/>
    <w:p w14:paraId="7056D9E2" w14:textId="77777777" w:rsidR="001B7E82" w:rsidRPr="00D46B3D" w:rsidRDefault="001B7E82" w:rsidP="001B7E82">
      <w:pPr>
        <w:pStyle w:val="Overskrift2"/>
      </w:pPr>
      <w:bookmarkStart w:id="32" w:name="_Toc192525164"/>
      <w:r w:rsidRPr="00D46B3D">
        <w:lastRenderedPageBreak/>
        <w:t>Finansiering av forskning og forskningsstøtte</w:t>
      </w:r>
      <w:bookmarkEnd w:id="32"/>
    </w:p>
    <w:p w14:paraId="7A4FF257" w14:textId="32CD95DC" w:rsidR="009D2882" w:rsidRPr="009D2882" w:rsidRDefault="009D2882" w:rsidP="009D2882">
      <w:pPr>
        <w:rPr>
          <w:rFonts w:cs="Arial"/>
        </w:rPr>
      </w:pPr>
      <w:r>
        <w:rPr>
          <w:rFonts w:cs="Arial"/>
        </w:rPr>
        <w:t xml:space="preserve">AP11 anbefaler at: </w:t>
      </w:r>
    </w:p>
    <w:p w14:paraId="1276D8ED" w14:textId="5A4092E3" w:rsidR="00A92640" w:rsidRPr="00502CE3" w:rsidRDefault="008E13AE" w:rsidP="001B7E82">
      <w:pPr>
        <w:pStyle w:val="Listeavsnitt"/>
        <w:numPr>
          <w:ilvl w:val="0"/>
          <w:numId w:val="52"/>
        </w:numPr>
        <w:rPr>
          <w:rFonts w:cs="Arial"/>
        </w:rPr>
      </w:pPr>
      <w:r>
        <w:rPr>
          <w:rFonts w:cs="Arial"/>
          <w:color w:val="auto"/>
        </w:rPr>
        <w:t>Offentlig driftstilskudd og b</w:t>
      </w:r>
      <w:r w:rsidR="001B7E82" w:rsidRPr="00965459">
        <w:rPr>
          <w:rFonts w:cs="Arial"/>
          <w:color w:val="auto"/>
        </w:rPr>
        <w:t>rukerbetaling er en vanlig</w:t>
      </w:r>
      <w:r>
        <w:rPr>
          <w:rFonts w:cs="Arial"/>
          <w:color w:val="auto"/>
        </w:rPr>
        <w:t>e finansieringskilder</w:t>
      </w:r>
      <w:r w:rsidR="001B7E82" w:rsidRPr="00965459">
        <w:rPr>
          <w:rFonts w:cs="Arial"/>
          <w:color w:val="auto"/>
        </w:rPr>
        <w:t xml:space="preserve"> for </w:t>
      </w:r>
      <w:r>
        <w:rPr>
          <w:rFonts w:cs="Arial"/>
          <w:color w:val="auto"/>
        </w:rPr>
        <w:t xml:space="preserve">administrativ </w:t>
      </w:r>
      <w:r w:rsidR="001B7E82" w:rsidRPr="00965459">
        <w:rPr>
          <w:rFonts w:cs="Arial"/>
          <w:color w:val="auto"/>
        </w:rPr>
        <w:t>forskningsstøtte, og det jobbes videre i NorCRIN med mål om å harmonisere finansiering av forskningsstøtte</w:t>
      </w:r>
      <w:r>
        <w:rPr>
          <w:rFonts w:cs="Arial"/>
          <w:color w:val="auto"/>
        </w:rPr>
        <w:t xml:space="preserve"> på tvers av helseregionene</w:t>
      </w:r>
      <w:r w:rsidR="001B7E82" w:rsidRPr="00965459">
        <w:rPr>
          <w:rFonts w:cs="Arial"/>
          <w:color w:val="auto"/>
        </w:rPr>
        <w:t>, herunder praksis for brukerbetaling.</w:t>
      </w:r>
      <w:r w:rsidR="001C367A">
        <w:rPr>
          <w:rFonts w:cs="Arial"/>
          <w:color w:val="auto"/>
        </w:rPr>
        <w:br/>
      </w:r>
    </w:p>
    <w:p w14:paraId="4EF19D6D" w14:textId="1C72F7AB" w:rsidR="001B7E82" w:rsidRPr="00C8091E" w:rsidRDefault="00F80813" w:rsidP="001B7E82">
      <w:pPr>
        <w:pStyle w:val="Listeavsnitt"/>
        <w:numPr>
          <w:ilvl w:val="0"/>
          <w:numId w:val="52"/>
        </w:numPr>
        <w:rPr>
          <w:rFonts w:cs="Arial"/>
        </w:rPr>
      </w:pPr>
      <w:r>
        <w:rPr>
          <w:rFonts w:cs="Arial"/>
          <w:color w:val="auto"/>
        </w:rPr>
        <w:t>Kurs</w:t>
      </w:r>
      <w:r w:rsidR="00C0344D">
        <w:rPr>
          <w:rFonts w:cs="Arial"/>
          <w:color w:val="auto"/>
        </w:rPr>
        <w:t xml:space="preserve">avgifter kan i større grad benyttes som en inntektskilde </w:t>
      </w:r>
      <w:r w:rsidR="0056311E">
        <w:rPr>
          <w:rFonts w:cs="Arial"/>
          <w:color w:val="auto"/>
        </w:rPr>
        <w:t>for enheter i forskningsstøtte.</w:t>
      </w:r>
    </w:p>
    <w:p w14:paraId="741A7BF3" w14:textId="77777777" w:rsidR="00C8091E" w:rsidRPr="00965459" w:rsidRDefault="00C8091E" w:rsidP="00C8091E">
      <w:pPr>
        <w:pStyle w:val="Listeavsnitt"/>
        <w:ind w:left="360"/>
        <w:rPr>
          <w:rFonts w:cs="Arial"/>
        </w:rPr>
      </w:pPr>
    </w:p>
    <w:p w14:paraId="71337539" w14:textId="77777777" w:rsidR="001B7E82" w:rsidRDefault="001B7E82" w:rsidP="001B7E82">
      <w:pPr>
        <w:pStyle w:val="Overskrift2"/>
      </w:pPr>
      <w:bookmarkStart w:id="33" w:name="_Toc192525165"/>
      <w:r>
        <w:t>Synliggjøring på nett</w:t>
      </w:r>
      <w:bookmarkEnd w:id="33"/>
    </w:p>
    <w:p w14:paraId="4A922612" w14:textId="511497C1" w:rsidR="001B7E82" w:rsidRPr="009D2882" w:rsidRDefault="00831B16" w:rsidP="009D2882">
      <w:pPr>
        <w:rPr>
          <w:rFonts w:cs="Arial"/>
          <w:color w:val="auto"/>
        </w:rPr>
      </w:pPr>
      <w:r>
        <w:rPr>
          <w:rFonts w:cs="Arial"/>
          <w:color w:val="auto"/>
        </w:rPr>
        <w:t xml:space="preserve">AP11 anbefaler at </w:t>
      </w:r>
      <w:r>
        <w:t>a</w:t>
      </w:r>
      <w:r w:rsidR="001B7E82" w:rsidRPr="00DE4B6B">
        <w:t>lle enheter ha</w:t>
      </w:r>
      <w:r w:rsidR="002A16BF">
        <w:t>r</w:t>
      </w:r>
      <w:r w:rsidR="001B7E82" w:rsidRPr="00DE4B6B">
        <w:t xml:space="preserve"> en standard beskrivelse av egen enhet, som enheten selv vedlikeholder.</w:t>
      </w:r>
      <w:r w:rsidR="001B7E82">
        <w:t xml:space="preserve"> Norsk og engelsk. </w:t>
      </w:r>
      <w:r w:rsidR="001B7E82" w:rsidRPr="00DE4B6B">
        <w:t>En slik organisering kunne standardiseres, og forslag til innhold:</w:t>
      </w:r>
    </w:p>
    <w:p w14:paraId="63CB4BC4" w14:textId="77777777" w:rsidR="001B7E82" w:rsidRDefault="001B7E82" w:rsidP="001B7E82">
      <w:pPr>
        <w:pStyle w:val="Listeavsnitt"/>
        <w:numPr>
          <w:ilvl w:val="0"/>
          <w:numId w:val="17"/>
        </w:numPr>
      </w:pPr>
      <w:r w:rsidRPr="00DE4B6B">
        <w:t>Hva enhe</w:t>
      </w:r>
      <w:r>
        <w:t>ten gjør</w:t>
      </w:r>
    </w:p>
    <w:p w14:paraId="09268622" w14:textId="77777777" w:rsidR="001B7E82" w:rsidRDefault="001B7E82" w:rsidP="001B7E82">
      <w:pPr>
        <w:pStyle w:val="Listeavsnitt"/>
        <w:numPr>
          <w:ilvl w:val="0"/>
          <w:numId w:val="17"/>
        </w:numPr>
      </w:pPr>
      <w:r>
        <w:t>T</w:t>
      </w:r>
      <w:r w:rsidRPr="00DE4B6B">
        <w:t>ype studier den j</w:t>
      </w:r>
      <w:r>
        <w:t>obber med</w:t>
      </w:r>
    </w:p>
    <w:p w14:paraId="25F4775B" w14:textId="77777777" w:rsidR="001B7E82" w:rsidRDefault="001B7E82" w:rsidP="001B7E82">
      <w:pPr>
        <w:pStyle w:val="Listeavsnitt"/>
        <w:numPr>
          <w:ilvl w:val="0"/>
          <w:numId w:val="17"/>
        </w:numPr>
      </w:pPr>
      <w:r>
        <w:t>T</w:t>
      </w:r>
      <w:r w:rsidRPr="00DE4B6B">
        <w:t>jenester enheten kan yte</w:t>
      </w:r>
    </w:p>
    <w:p w14:paraId="2E93AFF5" w14:textId="77777777" w:rsidR="001B7E82" w:rsidRDefault="001B7E82" w:rsidP="001B7E82">
      <w:pPr>
        <w:pStyle w:val="Listeavsnitt"/>
        <w:numPr>
          <w:ilvl w:val="0"/>
          <w:numId w:val="17"/>
        </w:numPr>
      </w:pPr>
      <w:r>
        <w:t>H</w:t>
      </w:r>
      <w:r w:rsidRPr="00DE4B6B">
        <w:t xml:space="preserve">vilke roller enheten kan </w:t>
      </w:r>
      <w:r>
        <w:t>stille med i studier</w:t>
      </w:r>
    </w:p>
    <w:p w14:paraId="72D211EF" w14:textId="77777777" w:rsidR="001B7E82" w:rsidRDefault="001B7E82" w:rsidP="001B7E82">
      <w:pPr>
        <w:pStyle w:val="Listeavsnitt"/>
        <w:numPr>
          <w:ilvl w:val="0"/>
          <w:numId w:val="17"/>
        </w:numPr>
      </w:pPr>
      <w:r>
        <w:t>K</w:t>
      </w:r>
      <w:r w:rsidRPr="00DE4B6B">
        <w:t>apasitet</w:t>
      </w:r>
      <w:r w:rsidRPr="00AB7E59">
        <w:t xml:space="preserve"> </w:t>
      </w:r>
      <w:r>
        <w:t>i ulike roller</w:t>
      </w:r>
    </w:p>
    <w:p w14:paraId="648A92E2" w14:textId="03590DC7" w:rsidR="001B7E82" w:rsidRDefault="001B7E82" w:rsidP="001B7E82">
      <w:pPr>
        <w:pStyle w:val="Listeavsnitt"/>
        <w:numPr>
          <w:ilvl w:val="0"/>
          <w:numId w:val="17"/>
        </w:numPr>
      </w:pPr>
      <w:r>
        <w:t>O</w:t>
      </w:r>
      <w:r w:rsidRPr="00AB7E59">
        <w:t>rganisering</w:t>
      </w:r>
      <w:r>
        <w:t xml:space="preserve"> (</w:t>
      </w:r>
      <w:proofErr w:type="spellStart"/>
      <w:r>
        <w:t>orgkart</w:t>
      </w:r>
      <w:proofErr w:type="spellEnd"/>
      <w:r>
        <w:t>, struktur)</w:t>
      </w:r>
    </w:p>
    <w:p w14:paraId="0A724524" w14:textId="77777777" w:rsidR="00C8091E" w:rsidRDefault="00C8091E" w:rsidP="00C8091E">
      <w:pPr>
        <w:pStyle w:val="Listeavsnitt"/>
        <w:ind w:left="1080"/>
      </w:pPr>
    </w:p>
    <w:p w14:paraId="5467D34C" w14:textId="77777777" w:rsidR="001B7E82" w:rsidRPr="001B7E82" w:rsidRDefault="001B7E82" w:rsidP="001B7E82">
      <w:pPr>
        <w:pStyle w:val="Overskrift2"/>
      </w:pPr>
      <w:bookmarkStart w:id="34" w:name="_Toc192525166"/>
      <w:r w:rsidRPr="001B7E82">
        <w:t>Annet</w:t>
      </w:r>
      <w:bookmarkEnd w:id="34"/>
    </w:p>
    <w:p w14:paraId="35CB6E97" w14:textId="587FF9E7" w:rsidR="009D2882" w:rsidRPr="009D2882" w:rsidRDefault="009D2882" w:rsidP="009D2882">
      <w:pPr>
        <w:rPr>
          <w:color w:val="auto"/>
        </w:rPr>
      </w:pPr>
      <w:r>
        <w:rPr>
          <w:color w:val="auto"/>
        </w:rPr>
        <w:t xml:space="preserve">AP11 anbefaler at: </w:t>
      </w:r>
    </w:p>
    <w:p w14:paraId="081111DA" w14:textId="5301DC53" w:rsidR="000769DE" w:rsidRDefault="00101BA7" w:rsidP="000769DE">
      <w:pPr>
        <w:pStyle w:val="Listeavsnitt"/>
        <w:numPr>
          <w:ilvl w:val="0"/>
          <w:numId w:val="58"/>
        </w:numPr>
        <w:rPr>
          <w:color w:val="auto"/>
        </w:rPr>
      </w:pPr>
      <w:r w:rsidRPr="00691865">
        <w:rPr>
          <w:color w:val="auto"/>
        </w:rPr>
        <w:t xml:space="preserve">. </w:t>
      </w:r>
      <w:r w:rsidR="00DB0AA2" w:rsidRPr="00DB0AA2">
        <w:rPr>
          <w:color w:val="auto"/>
        </w:rPr>
        <w:t xml:space="preserve">Kravene til risikoanalyse (ROS) av ulike datasystemer </w:t>
      </w:r>
      <w:r w:rsidR="00DB0AA2">
        <w:rPr>
          <w:color w:val="auto"/>
        </w:rPr>
        <w:t xml:space="preserve">bør </w:t>
      </w:r>
      <w:r w:rsidR="00DB0AA2" w:rsidRPr="00DB0AA2">
        <w:rPr>
          <w:color w:val="auto"/>
        </w:rPr>
        <w:t>harmoniseres, likeså lisens/brukerbetaling, slik at man lettere kan ta i bruk felles løsninger for datainnsamling multisenterstudier.</w:t>
      </w:r>
      <w:r w:rsidR="00DB0AA2">
        <w:rPr>
          <w:color w:val="auto"/>
        </w:rPr>
        <w:t xml:space="preserve"> </w:t>
      </w:r>
      <w:r w:rsidRPr="00691865">
        <w:rPr>
          <w:color w:val="auto"/>
        </w:rPr>
        <w:t>Dette vil understøtte samarbeid på tvers av institusjoner</w:t>
      </w:r>
      <w:r w:rsidR="008E13AE">
        <w:rPr>
          <w:color w:val="auto"/>
        </w:rPr>
        <w:t xml:space="preserve"> og regioner</w:t>
      </w:r>
      <w:r w:rsidRPr="00691865">
        <w:rPr>
          <w:color w:val="auto"/>
        </w:rPr>
        <w:t xml:space="preserve">. Det er i dag slik at tillatte systemer (på et gitt sykehus) avhenger av hvor </w:t>
      </w:r>
      <w:r w:rsidR="000769DE">
        <w:rPr>
          <w:color w:val="auto"/>
        </w:rPr>
        <w:t>behandlingsansvaret</w:t>
      </w:r>
      <w:r w:rsidR="000769DE" w:rsidRPr="00691865">
        <w:rPr>
          <w:color w:val="auto"/>
        </w:rPr>
        <w:t xml:space="preserve"> </w:t>
      </w:r>
      <w:r w:rsidRPr="00691865">
        <w:rPr>
          <w:color w:val="auto"/>
        </w:rPr>
        <w:t xml:space="preserve">ligger (på eget sykehus eller i annen institusjon). Denne tilnærmingen, som speiler dagens lovgivning, </w:t>
      </w:r>
      <w:r w:rsidR="008E13AE">
        <w:rPr>
          <w:color w:val="auto"/>
        </w:rPr>
        <w:t xml:space="preserve">oppleves å representere en flaskehals for </w:t>
      </w:r>
      <w:r w:rsidR="000769DE">
        <w:rPr>
          <w:color w:val="auto"/>
        </w:rPr>
        <w:t xml:space="preserve">en del </w:t>
      </w:r>
      <w:r w:rsidR="008E13AE">
        <w:rPr>
          <w:color w:val="auto"/>
        </w:rPr>
        <w:t>kliniske studier</w:t>
      </w:r>
      <w:r w:rsidR="000769DE">
        <w:rPr>
          <w:color w:val="auto"/>
        </w:rPr>
        <w:t>.</w:t>
      </w:r>
      <w:r w:rsidR="000769DE" w:rsidRPr="000769DE">
        <w:rPr>
          <w:color w:val="auto"/>
        </w:rPr>
        <w:t xml:space="preserve"> </w:t>
      </w:r>
      <w:r w:rsidR="00D64707">
        <w:rPr>
          <w:color w:val="auto"/>
        </w:rPr>
        <w:br/>
      </w:r>
    </w:p>
    <w:p w14:paraId="72E2F12F" w14:textId="2382D64E" w:rsidR="001B7E82" w:rsidRPr="00D64707" w:rsidRDefault="000769DE" w:rsidP="00D64707">
      <w:pPr>
        <w:pStyle w:val="Listeavsnitt"/>
        <w:numPr>
          <w:ilvl w:val="0"/>
          <w:numId w:val="58"/>
        </w:numPr>
        <w:rPr>
          <w:color w:val="auto"/>
        </w:rPr>
      </w:pPr>
      <w:r w:rsidRPr="00A717B3">
        <w:rPr>
          <w:color w:val="auto"/>
        </w:rPr>
        <w:t>Det</w:t>
      </w:r>
      <w:r>
        <w:rPr>
          <w:color w:val="auto"/>
        </w:rPr>
        <w:t xml:space="preserve"> bør</w:t>
      </w:r>
      <w:r w:rsidRPr="00A717B3">
        <w:rPr>
          <w:color w:val="auto"/>
        </w:rPr>
        <w:t xml:space="preserve"> etableres en felles nasjonal praksis slik at data fra friske frivillige i kliniske studier må kunne legges inn i godkjent journal</w:t>
      </w:r>
      <w:r>
        <w:rPr>
          <w:color w:val="auto"/>
        </w:rPr>
        <w:br/>
      </w:r>
    </w:p>
    <w:p w14:paraId="5039CB42" w14:textId="77777777" w:rsidR="00101A15" w:rsidRDefault="00101A15" w:rsidP="00821450">
      <w:pPr>
        <w:pStyle w:val="Overskrift1"/>
      </w:pPr>
      <w:bookmarkStart w:id="35" w:name="_Toc192525167"/>
      <w:r>
        <w:t>Akkreditering</w:t>
      </w:r>
      <w:bookmarkEnd w:id="35"/>
    </w:p>
    <w:p w14:paraId="60E5372B" w14:textId="57A2312C" w:rsidR="001C367A" w:rsidRDefault="008579F8" w:rsidP="00101A15">
      <w:r>
        <w:t xml:space="preserve">Basert på besøkene i Sverige, Danmark, Sveits og Tyskland, </w:t>
      </w:r>
      <w:r w:rsidR="00691865">
        <w:t>der vi så langt har sett overraskende få krav til sertifisering eller andre formelle krav til enheter</w:t>
      </w:r>
      <w:r w:rsidR="00DF5FE8">
        <w:t xml:space="preserve">, tjenester og </w:t>
      </w:r>
      <w:r w:rsidR="00691865">
        <w:t xml:space="preserve">roller, </w:t>
      </w:r>
      <w:r>
        <w:t>ser vi det pr</w:t>
      </w:r>
      <w:r w:rsidR="00DF5FE8">
        <w:t>.</w:t>
      </w:r>
      <w:r>
        <w:t xml:space="preserve"> i dag ikke som viktig å etablere noen form for nasjonal akkrediteringsordning for enheter i infrastrukturen for forskningsstøtte for å imøtekomme en forventning fra sponsorer for akademiske studier i utlandet. </w:t>
      </w:r>
    </w:p>
    <w:p w14:paraId="06DEB724" w14:textId="694131DE" w:rsidR="00691865" w:rsidRDefault="00691865" w:rsidP="00101A15">
      <w:r>
        <w:t>AP11 ser det imidlertid som viktig å arbeide videre med standardisering av utdanning for studiesykepleiere, monitorer</w:t>
      </w:r>
      <w:r w:rsidR="00191DE7">
        <w:t>, studiekoordinator</w:t>
      </w:r>
      <w:r w:rsidR="00135709">
        <w:t>/prosjektkoordinator/CRA</w:t>
      </w:r>
      <w:r w:rsidR="00191DE7">
        <w:t xml:space="preserve"> (</w:t>
      </w:r>
      <w:proofErr w:type="spellStart"/>
      <w:r w:rsidR="00191DE7">
        <w:t>Clinical</w:t>
      </w:r>
      <w:proofErr w:type="spellEnd"/>
      <w:r w:rsidR="00191DE7">
        <w:t xml:space="preserve"> Research </w:t>
      </w:r>
      <w:proofErr w:type="spellStart"/>
      <w:r w:rsidR="00191DE7">
        <w:t>Assosiate</w:t>
      </w:r>
      <w:proofErr w:type="spellEnd"/>
      <w:r w:rsidR="00191DE7">
        <w:t>)</w:t>
      </w:r>
      <w:r>
        <w:t xml:space="preserve"> og etter hvert andre roller. Gjerne også </w:t>
      </w:r>
      <w:r w:rsidR="00F40CCB">
        <w:t>felles nasjonale kompetanse</w:t>
      </w:r>
      <w:r>
        <w:t xml:space="preserve">krav for </w:t>
      </w:r>
      <w:r w:rsidR="000F0715">
        <w:t>de</w:t>
      </w:r>
      <w:r w:rsidR="0069701E">
        <w:t xml:space="preserve"> </w:t>
      </w:r>
      <w:r>
        <w:t>som skal gjennomføre kliniske studier</w:t>
      </w:r>
      <w:r w:rsidR="000F0715">
        <w:t>, inkl. forskere.</w:t>
      </w:r>
    </w:p>
    <w:p w14:paraId="7CE3DF76" w14:textId="5319CE26" w:rsidR="00691865" w:rsidRDefault="00255573" w:rsidP="00101A15">
      <w:r>
        <w:lastRenderedPageBreak/>
        <w:t>Generelt</w:t>
      </w:r>
      <w:r w:rsidR="00691865">
        <w:t xml:space="preserve"> </w:t>
      </w:r>
      <w:r>
        <w:t xml:space="preserve">er </w:t>
      </w:r>
      <w:r w:rsidR="00691865">
        <w:t xml:space="preserve">det </w:t>
      </w:r>
      <w:r>
        <w:t xml:space="preserve">nå </w:t>
      </w:r>
      <w:r w:rsidR="00691865">
        <w:t xml:space="preserve">en utvikling i retning av at </w:t>
      </w:r>
      <w:r>
        <w:t xml:space="preserve">alle </w:t>
      </w:r>
      <w:r w:rsidR="00691865">
        <w:t>prosesser</w:t>
      </w:r>
      <w:r w:rsidR="00DF5FE8">
        <w:t xml:space="preserve"> og tjenester</w:t>
      </w:r>
      <w:r w:rsidR="00691865">
        <w:t xml:space="preserve"> skal være beskrevet i et kvalitetssystem, og vi antar at </w:t>
      </w:r>
      <w:r w:rsidR="003A3D54">
        <w:t>det i økende</w:t>
      </w:r>
      <w:r w:rsidR="001828B9">
        <w:t xml:space="preserve"> grad vil bli nødvendig å formalisere (og dokumentere) kompetanse</w:t>
      </w:r>
      <w:r w:rsidR="00691865">
        <w:t xml:space="preserve">krav til </w:t>
      </w:r>
      <w:r w:rsidR="001828B9">
        <w:t xml:space="preserve">ulike </w:t>
      </w:r>
      <w:r w:rsidR="00691865">
        <w:t xml:space="preserve">roller </w:t>
      </w:r>
    </w:p>
    <w:p w14:paraId="4340955E" w14:textId="77777777" w:rsidR="00691865" w:rsidRDefault="00691865" w:rsidP="00101A15"/>
    <w:p w14:paraId="797B0B08" w14:textId="55AD18EA" w:rsidR="007B14F4" w:rsidRDefault="00691865" w:rsidP="00101A15">
      <w:r>
        <w:t xml:space="preserve">I Sverige har legemiddelmyndighetene gitt en offisiell «godkjenning» First in Human enhetene. Noe tilsvarende ville man gjerne få til som en del av AP7 sitt arbeid, men daværende SLV, nå DMP, hadde ikke mandat til en slik godkjenning.  </w:t>
      </w:r>
    </w:p>
    <w:p w14:paraId="6CA1B6D7" w14:textId="77777777" w:rsidR="0056311E" w:rsidRDefault="0056311E" w:rsidP="00101A15"/>
    <w:p w14:paraId="7F2520BE" w14:textId="77777777" w:rsidR="00DF5FE8" w:rsidRDefault="00DF5FE8" w:rsidP="0006136C">
      <w:pPr>
        <w:pStyle w:val="Overskrift1"/>
      </w:pPr>
      <w:bookmarkStart w:id="36" w:name="_Toc192525169"/>
      <w:r>
        <w:t>Bidragsytere til tekst</w:t>
      </w:r>
      <w:bookmarkEnd w:id="36"/>
    </w:p>
    <w:p w14:paraId="56DE6666" w14:textId="0D158FE6" w:rsidR="00A64CD8" w:rsidRDefault="00A64CD8" w:rsidP="00DF5FE8">
      <w:r>
        <w:t>AP11 har fått god bistand fra eksterne med følgende tekst, og vil gjerne takke:</w:t>
      </w:r>
    </w:p>
    <w:p w14:paraId="4E660691" w14:textId="5E90AC4C" w:rsidR="00DF5FE8" w:rsidRDefault="004B363D" w:rsidP="00DF5FE8">
      <w:r>
        <w:t xml:space="preserve">Jan Gunnar </w:t>
      </w:r>
      <w:proofErr w:type="spellStart"/>
      <w:r>
        <w:t>Skogås</w:t>
      </w:r>
      <w:proofErr w:type="spellEnd"/>
      <w:r>
        <w:t xml:space="preserve">, </w:t>
      </w:r>
      <w:r w:rsidR="00D774E6">
        <w:t>leder for</w:t>
      </w:r>
      <w:r>
        <w:t xml:space="preserve"> </w:t>
      </w:r>
      <w:proofErr w:type="spellStart"/>
      <w:r>
        <w:t>NorT</w:t>
      </w:r>
      <w:r w:rsidR="00092FD6">
        <w:t>rials</w:t>
      </w:r>
      <w:proofErr w:type="spellEnd"/>
      <w:r>
        <w:t xml:space="preserve"> senter for medisinsk utstyr, </w:t>
      </w:r>
      <w:proofErr w:type="spellStart"/>
      <w:r w:rsidR="00DF5FE8">
        <w:t>StOlavs</w:t>
      </w:r>
      <w:proofErr w:type="spellEnd"/>
      <w:r>
        <w:t>,</w:t>
      </w:r>
      <w:r w:rsidR="00044ECB">
        <w:t xml:space="preserve"> for avsnitt 6.2</w:t>
      </w:r>
      <w:r w:rsidR="00DF5FE8">
        <w:t>.2 om kliniske studier med medisinsk utstyr.</w:t>
      </w:r>
    </w:p>
    <w:p w14:paraId="3B16D818" w14:textId="1CFD8F6C" w:rsidR="00DF5FE8" w:rsidRDefault="00DF5FE8" w:rsidP="00DF5FE8">
      <w:r>
        <w:t xml:space="preserve">Dominic A Hoff, avdelingsleder for </w:t>
      </w:r>
      <w:proofErr w:type="spellStart"/>
      <w:r>
        <w:t>Avd</w:t>
      </w:r>
      <w:proofErr w:type="spellEnd"/>
      <w:r>
        <w:t xml:space="preserve"> Biobank og Registerstøtte, Forskningsstøtte, i OUS</w:t>
      </w:r>
      <w:r w:rsidR="004B363D">
        <w:t>,</w:t>
      </w:r>
      <w:r>
        <w:t xml:space="preserve"> for avsnitt 6.</w:t>
      </w:r>
      <w:r w:rsidR="005C0046">
        <w:t>3</w:t>
      </w:r>
      <w:r>
        <w:t xml:space="preserve"> om observasjonsstudier.</w:t>
      </w:r>
    </w:p>
    <w:p w14:paraId="2025A6BF" w14:textId="77777777" w:rsidR="007B4D03" w:rsidRDefault="007B4D03" w:rsidP="00DF5FE8"/>
    <w:p w14:paraId="0A620520" w14:textId="05FA9949" w:rsidR="008C2244" w:rsidRPr="00A64CD8" w:rsidRDefault="008C2244" w:rsidP="00A64CD8">
      <w:pPr>
        <w:autoSpaceDE/>
        <w:autoSpaceDN/>
        <w:adjustRightInd/>
        <w:spacing w:after="0"/>
        <w:rPr>
          <w:rFonts w:cs="Arial"/>
          <w:b/>
          <w:bCs/>
          <w:szCs w:val="26"/>
        </w:rPr>
      </w:pPr>
    </w:p>
    <w:sectPr w:rsidR="008C2244" w:rsidRPr="00A64CD8" w:rsidSect="00740E83">
      <w:headerReference w:type="default" r:id="rId28"/>
      <w:footerReference w:type="even" r:id="rId29"/>
      <w:footerReference w:type="default" r:id="rId30"/>
      <w:footerReference w:type="first" r:id="rId31"/>
      <w:pgSz w:w="11906" w:h="16838" w:code="9"/>
      <w:pgMar w:top="1418" w:right="1418" w:bottom="141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5FD1A" w14:textId="77777777" w:rsidR="00932D7E" w:rsidRDefault="00932D7E" w:rsidP="00821450">
      <w:r>
        <w:separator/>
      </w:r>
    </w:p>
    <w:p w14:paraId="230B77E2" w14:textId="77777777" w:rsidR="00932D7E" w:rsidRDefault="00932D7E" w:rsidP="00821450"/>
  </w:endnote>
  <w:endnote w:type="continuationSeparator" w:id="0">
    <w:p w14:paraId="2B015DD3" w14:textId="77777777" w:rsidR="00932D7E" w:rsidRDefault="00932D7E" w:rsidP="00821450">
      <w:r>
        <w:continuationSeparator/>
      </w:r>
    </w:p>
    <w:p w14:paraId="6E792A09" w14:textId="77777777" w:rsidR="00932D7E" w:rsidRDefault="00932D7E" w:rsidP="00821450"/>
  </w:endnote>
  <w:endnote w:type="continuationNotice" w:id="1">
    <w:p w14:paraId="174D871B" w14:textId="77777777" w:rsidR="00932D7E" w:rsidRDefault="00932D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FE98F" w14:textId="3470676C" w:rsidR="00DE011B" w:rsidRDefault="00DE011B">
    <w:pPr>
      <w:pStyle w:val="Bunntekst"/>
    </w:pPr>
    <w:r>
      <w:rPr>
        <w:noProof/>
        <w:lang w:bidi="ar-SA"/>
      </w:rPr>
      <mc:AlternateContent>
        <mc:Choice Requires="wps">
          <w:drawing>
            <wp:anchor distT="0" distB="0" distL="0" distR="0" simplePos="0" relativeHeight="251659264" behindDoc="0" locked="0" layoutInCell="1" allowOverlap="1" wp14:anchorId="573C62C4" wp14:editId="22A45F5E">
              <wp:simplePos x="635" y="635"/>
              <wp:positionH relativeFrom="page">
                <wp:align>left</wp:align>
              </wp:positionH>
              <wp:positionV relativeFrom="page">
                <wp:align>bottom</wp:align>
              </wp:positionV>
              <wp:extent cx="443865" cy="443865"/>
              <wp:effectExtent l="0" t="0" r="4445" b="0"/>
              <wp:wrapNone/>
              <wp:docPr id="6" name="Tekstboks 6" descr="Følsomhet Intern (gu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D6F922" w14:textId="0420610D" w:rsidR="00DE011B" w:rsidRPr="00F27880" w:rsidRDefault="00DE011B" w:rsidP="00F27880">
                          <w:pPr>
                            <w:spacing w:after="0"/>
                            <w:rPr>
                              <w:rFonts w:ascii="Calibri" w:eastAsia="Calibri" w:hAnsi="Calibri" w:cs="Calibri"/>
                              <w:noProof/>
                              <w:sz w:val="20"/>
                              <w:szCs w:val="20"/>
                            </w:rPr>
                          </w:pPr>
                          <w:r w:rsidRPr="00F27880">
                            <w:rPr>
                              <w:rFonts w:ascii="Calibri" w:eastAsia="Calibri" w:hAnsi="Calibri" w:cs="Calibri"/>
                              <w:noProof/>
                              <w:sz w:val="20"/>
                              <w:szCs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73C62C4" id="_x0000_t202" coordsize="21600,21600" o:spt="202" path="m,l,21600r21600,l21600,xe">
              <v:stroke joinstyle="miter"/>
              <v:path gradientshapeok="t" o:connecttype="rect"/>
            </v:shapetype>
            <v:shape id="Tekstboks 6" o:spid="_x0000_s1027" type="#_x0000_t202" alt="Følsomhet Intern (gu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AD6F922" w14:textId="0420610D" w:rsidR="00DE011B" w:rsidRPr="00F27880" w:rsidRDefault="00DE011B" w:rsidP="00F27880">
                    <w:pPr>
                      <w:spacing w:after="0"/>
                      <w:rPr>
                        <w:rFonts w:ascii="Calibri" w:eastAsia="Calibri" w:hAnsi="Calibri" w:cs="Calibri"/>
                        <w:noProof/>
                        <w:sz w:val="20"/>
                        <w:szCs w:val="20"/>
                      </w:rPr>
                    </w:pPr>
                    <w:r w:rsidRPr="00F27880">
                      <w:rPr>
                        <w:rFonts w:ascii="Calibri" w:eastAsia="Calibri" w:hAnsi="Calibri" w:cs="Calibri"/>
                        <w:noProof/>
                        <w:sz w:val="20"/>
                        <w:szCs w:val="20"/>
                      </w:rPr>
                      <w:t>Følsomhet Intern (gul)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ECA0" w14:textId="376679BA" w:rsidR="00DE011B" w:rsidRDefault="00DE011B" w:rsidP="009148EA">
    <w:pPr>
      <w:pStyle w:val="Bunntekst"/>
      <w:jc w:val="right"/>
    </w:pPr>
    <w:r>
      <w:rPr>
        <w:noProof/>
        <w:lang w:bidi="ar-SA"/>
      </w:rPr>
      <mc:AlternateContent>
        <mc:Choice Requires="wps">
          <w:drawing>
            <wp:anchor distT="0" distB="0" distL="0" distR="0" simplePos="0" relativeHeight="251660288" behindDoc="0" locked="0" layoutInCell="1" allowOverlap="1" wp14:anchorId="2FA9509F" wp14:editId="1AB0744C">
              <wp:simplePos x="898497" y="9907325"/>
              <wp:positionH relativeFrom="page">
                <wp:align>left</wp:align>
              </wp:positionH>
              <wp:positionV relativeFrom="page">
                <wp:align>bottom</wp:align>
              </wp:positionV>
              <wp:extent cx="443865" cy="443865"/>
              <wp:effectExtent l="0" t="0" r="4445" b="0"/>
              <wp:wrapNone/>
              <wp:docPr id="7" name="Tekstboks 7" descr="Følsomhet Intern (gu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6D1751" w14:textId="43251AB5" w:rsidR="00DE011B" w:rsidRPr="00F27880" w:rsidRDefault="00DE011B" w:rsidP="00F27880">
                          <w:pPr>
                            <w:spacing w:after="0"/>
                            <w:rPr>
                              <w:rFonts w:ascii="Calibri" w:eastAsia="Calibri" w:hAnsi="Calibri" w:cs="Calibri"/>
                              <w:noProof/>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FA9509F" id="_x0000_t202" coordsize="21600,21600" o:spt="202" path="m,l,21600r21600,l21600,xe">
              <v:stroke joinstyle="miter"/>
              <v:path gradientshapeok="t" o:connecttype="rect"/>
            </v:shapetype>
            <v:shape id="Tekstboks 7" o:spid="_x0000_s1028" type="#_x0000_t202" alt="Følsomhet Intern (gul)"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226D1751" w14:textId="43251AB5" w:rsidR="00DE011B" w:rsidRPr="00F27880" w:rsidRDefault="00DE011B" w:rsidP="00F27880">
                    <w:pPr>
                      <w:spacing w:after="0"/>
                      <w:rPr>
                        <w:rFonts w:ascii="Calibri" w:eastAsia="Calibri" w:hAnsi="Calibri" w:cs="Calibri"/>
                        <w:noProof/>
                        <w:sz w:val="20"/>
                        <w:szCs w:val="20"/>
                      </w:rPr>
                    </w:pPr>
                  </w:p>
                </w:txbxContent>
              </v:textbox>
              <w10:wrap anchorx="page" anchory="page"/>
            </v:shape>
          </w:pict>
        </mc:Fallback>
      </mc:AlternateContent>
    </w:r>
    <w:r w:rsidRPr="009F71F5">
      <w:t xml:space="preserve">Side </w:t>
    </w:r>
    <w:r w:rsidRPr="009F71F5">
      <w:rPr>
        <w:rStyle w:val="Sidetall"/>
        <w:sz w:val="20"/>
        <w:szCs w:val="20"/>
      </w:rPr>
      <w:fldChar w:fldCharType="begin"/>
    </w:r>
    <w:r w:rsidRPr="009F71F5">
      <w:rPr>
        <w:rStyle w:val="Sidetall"/>
        <w:sz w:val="20"/>
        <w:szCs w:val="20"/>
      </w:rPr>
      <w:instrText xml:space="preserve"> PAGE </w:instrText>
    </w:r>
    <w:r w:rsidRPr="009F71F5">
      <w:rPr>
        <w:rStyle w:val="Sidetall"/>
        <w:sz w:val="20"/>
        <w:szCs w:val="20"/>
      </w:rPr>
      <w:fldChar w:fldCharType="separate"/>
    </w:r>
    <w:r w:rsidR="00C208C8">
      <w:rPr>
        <w:rStyle w:val="Sidetall"/>
        <w:noProof/>
        <w:sz w:val="20"/>
        <w:szCs w:val="20"/>
      </w:rPr>
      <w:t>2</w:t>
    </w:r>
    <w:r w:rsidRPr="009F71F5">
      <w:rPr>
        <w:rStyle w:val="Sidetall"/>
        <w:sz w:val="20"/>
        <w:szCs w:val="20"/>
      </w:rPr>
      <w:fldChar w:fldCharType="end"/>
    </w:r>
    <w:r w:rsidRPr="009F71F5">
      <w:rPr>
        <w:rStyle w:val="Sidetall"/>
        <w:sz w:val="20"/>
        <w:szCs w:val="20"/>
      </w:rPr>
      <w:t xml:space="preserve"> av </w:t>
    </w:r>
    <w:r w:rsidRPr="009F71F5">
      <w:rPr>
        <w:rStyle w:val="Sidetall"/>
        <w:sz w:val="20"/>
        <w:szCs w:val="20"/>
      </w:rPr>
      <w:fldChar w:fldCharType="begin"/>
    </w:r>
    <w:r w:rsidRPr="009F71F5">
      <w:rPr>
        <w:rStyle w:val="Sidetall"/>
        <w:sz w:val="20"/>
        <w:szCs w:val="20"/>
      </w:rPr>
      <w:instrText xml:space="preserve"> NUMPAGES </w:instrText>
    </w:r>
    <w:r w:rsidRPr="009F71F5">
      <w:rPr>
        <w:rStyle w:val="Sidetall"/>
        <w:sz w:val="20"/>
        <w:szCs w:val="20"/>
      </w:rPr>
      <w:fldChar w:fldCharType="separate"/>
    </w:r>
    <w:r w:rsidR="00C208C8">
      <w:rPr>
        <w:rStyle w:val="Sidetall"/>
        <w:noProof/>
        <w:sz w:val="20"/>
        <w:szCs w:val="20"/>
      </w:rPr>
      <w:t>4</w:t>
    </w:r>
    <w:r w:rsidRPr="009F71F5">
      <w:rPr>
        <w:rStyle w:val="Sidetall"/>
        <w:sz w:val="20"/>
        <w:szCs w:val="20"/>
      </w:rPr>
      <w:fldChar w:fldCharType="end"/>
    </w:r>
  </w:p>
  <w:p w14:paraId="3EED9BF4" w14:textId="77777777" w:rsidR="00DE011B" w:rsidRPr="009F71F5" w:rsidRDefault="00DE011B" w:rsidP="0082145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FD5A" w14:textId="6105206B" w:rsidR="00DE011B" w:rsidRDefault="00DE011B">
    <w:pPr>
      <w:pStyle w:val="Bunntekst"/>
    </w:pPr>
    <w:r>
      <w:rPr>
        <w:noProof/>
        <w:lang w:bidi="ar-SA"/>
      </w:rPr>
      <mc:AlternateContent>
        <mc:Choice Requires="wps">
          <w:drawing>
            <wp:anchor distT="0" distB="0" distL="0" distR="0" simplePos="0" relativeHeight="251658240" behindDoc="0" locked="0" layoutInCell="1" allowOverlap="1" wp14:anchorId="1CB98B2E" wp14:editId="2DCD5D12">
              <wp:simplePos x="635" y="635"/>
              <wp:positionH relativeFrom="page">
                <wp:align>left</wp:align>
              </wp:positionH>
              <wp:positionV relativeFrom="page">
                <wp:align>bottom</wp:align>
              </wp:positionV>
              <wp:extent cx="443865" cy="443865"/>
              <wp:effectExtent l="0" t="0" r="4445" b="0"/>
              <wp:wrapNone/>
              <wp:docPr id="4" name="Tekstboks 4" descr="Følsomhet Intern (gu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9C6012" w14:textId="661E4FFA" w:rsidR="00DE011B" w:rsidRPr="00F27880" w:rsidRDefault="00DE011B" w:rsidP="00F27880">
                          <w:pPr>
                            <w:spacing w:after="0"/>
                            <w:rPr>
                              <w:rFonts w:ascii="Calibri" w:eastAsia="Calibri" w:hAnsi="Calibri" w:cs="Calibri"/>
                              <w:noProof/>
                              <w:sz w:val="20"/>
                              <w:szCs w:val="20"/>
                            </w:rPr>
                          </w:pPr>
                          <w:r w:rsidRPr="00F27880">
                            <w:rPr>
                              <w:rFonts w:ascii="Calibri" w:eastAsia="Calibri" w:hAnsi="Calibri" w:cs="Calibri"/>
                              <w:noProof/>
                              <w:sz w:val="20"/>
                              <w:szCs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CB98B2E" id="_x0000_t202" coordsize="21600,21600" o:spt="202" path="m,l,21600r21600,l21600,xe">
              <v:stroke joinstyle="miter"/>
              <v:path gradientshapeok="t" o:connecttype="rect"/>
            </v:shapetype>
            <v:shape id="Tekstboks 4" o:spid="_x0000_s1029" type="#_x0000_t202" alt="Følsomhet Intern (gu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0C9C6012" w14:textId="661E4FFA" w:rsidR="00DE011B" w:rsidRPr="00F27880" w:rsidRDefault="00DE011B" w:rsidP="00F27880">
                    <w:pPr>
                      <w:spacing w:after="0"/>
                      <w:rPr>
                        <w:rFonts w:ascii="Calibri" w:eastAsia="Calibri" w:hAnsi="Calibri" w:cs="Calibri"/>
                        <w:noProof/>
                        <w:sz w:val="20"/>
                        <w:szCs w:val="20"/>
                      </w:rPr>
                    </w:pPr>
                    <w:r w:rsidRPr="00F27880">
                      <w:rPr>
                        <w:rFonts w:ascii="Calibri" w:eastAsia="Calibri" w:hAnsi="Calibri" w:cs="Calibri"/>
                        <w:noProof/>
                        <w:sz w:val="20"/>
                        <w:szCs w:val="20"/>
                      </w:rPr>
                      <w:t>Følsomhet Intern (gul)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32B92" w14:textId="77777777" w:rsidR="00932D7E" w:rsidRDefault="00932D7E" w:rsidP="00821450">
      <w:r>
        <w:separator/>
      </w:r>
    </w:p>
    <w:p w14:paraId="7C7B626B" w14:textId="77777777" w:rsidR="00932D7E" w:rsidRDefault="00932D7E" w:rsidP="00821450"/>
  </w:footnote>
  <w:footnote w:type="continuationSeparator" w:id="0">
    <w:p w14:paraId="33436312" w14:textId="77777777" w:rsidR="00932D7E" w:rsidRDefault="00932D7E" w:rsidP="00821450">
      <w:r>
        <w:continuationSeparator/>
      </w:r>
    </w:p>
    <w:p w14:paraId="3B3C7C1C" w14:textId="77777777" w:rsidR="00932D7E" w:rsidRDefault="00932D7E" w:rsidP="00821450"/>
  </w:footnote>
  <w:footnote w:type="continuationNotice" w:id="1">
    <w:p w14:paraId="270731A4" w14:textId="77777777" w:rsidR="00932D7E" w:rsidRDefault="00932D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94" w:type="dxa"/>
      <w:tblInd w:w="-17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4140"/>
      <w:gridCol w:w="1276"/>
      <w:gridCol w:w="1134"/>
      <w:gridCol w:w="3544"/>
    </w:tblGrid>
    <w:tr w:rsidR="00DE011B" w:rsidRPr="001F1A91" w14:paraId="594D9DEC" w14:textId="77777777" w:rsidTr="00FD1535">
      <w:trPr>
        <w:trHeight w:val="1316"/>
      </w:trPr>
      <w:tc>
        <w:tcPr>
          <w:tcW w:w="6550" w:type="dxa"/>
          <w:gridSpan w:val="3"/>
          <w:tcBorders>
            <w:top w:val="single" w:sz="4" w:space="0" w:color="auto"/>
            <w:bottom w:val="single" w:sz="4" w:space="0" w:color="auto"/>
          </w:tcBorders>
        </w:tcPr>
        <w:p w14:paraId="44E8FA83" w14:textId="79C787B4" w:rsidR="00DE011B" w:rsidRPr="001F1A91" w:rsidRDefault="00DE011B" w:rsidP="009148EA">
          <w:pPr>
            <w:tabs>
              <w:tab w:val="left" w:pos="7608"/>
            </w:tabs>
            <w:rPr>
              <w:rFonts w:eastAsia="MS Mincho"/>
              <w:lang w:eastAsia="en-US" w:bidi="ar-SA"/>
            </w:rPr>
          </w:pPr>
          <w:r w:rsidRPr="001F1A91">
            <w:rPr>
              <w:rFonts w:eastAsia="MS Mincho"/>
              <w:noProof/>
              <w:lang w:bidi="ar-SA"/>
            </w:rPr>
            <w:drawing>
              <wp:inline distT="0" distB="0" distL="0" distR="0" wp14:anchorId="759123DD" wp14:editId="5C19D363">
                <wp:extent cx="2089150" cy="781050"/>
                <wp:effectExtent l="0" t="0" r="6350" b="0"/>
                <wp:docPr id="1" name="Bilde 1" descr="NorCRI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CRIN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150" cy="781050"/>
                        </a:xfrm>
                        <a:prstGeom prst="rect">
                          <a:avLst/>
                        </a:prstGeom>
                        <a:noFill/>
                        <a:ln>
                          <a:noFill/>
                        </a:ln>
                      </pic:spPr>
                    </pic:pic>
                  </a:graphicData>
                </a:graphic>
              </wp:inline>
            </w:drawing>
          </w:r>
        </w:p>
      </w:tc>
      <w:tc>
        <w:tcPr>
          <w:tcW w:w="3544" w:type="dxa"/>
          <w:tcBorders>
            <w:top w:val="single" w:sz="4" w:space="0" w:color="auto"/>
            <w:left w:val="nil"/>
            <w:bottom w:val="single" w:sz="4" w:space="0" w:color="auto"/>
            <w:right w:val="single" w:sz="4" w:space="0" w:color="auto"/>
          </w:tcBorders>
        </w:tcPr>
        <w:p w14:paraId="38DF58E5" w14:textId="77777777" w:rsidR="00DE011B" w:rsidRPr="001F1A91" w:rsidRDefault="00DE011B" w:rsidP="00821450">
          <w:pPr>
            <w:rPr>
              <w:rFonts w:eastAsia="MS Mincho"/>
              <w:lang w:eastAsia="en-US" w:bidi="ar-SA"/>
            </w:rPr>
          </w:pPr>
        </w:p>
        <w:p w14:paraId="6B6212D8" w14:textId="77777777" w:rsidR="00DE011B" w:rsidRPr="001F1A91" w:rsidRDefault="00DE011B" w:rsidP="009148EA">
          <w:pPr>
            <w:jc w:val="center"/>
            <w:rPr>
              <w:rFonts w:eastAsia="MS Mincho"/>
              <w:lang w:eastAsia="en-US" w:bidi="ar-SA"/>
            </w:rPr>
          </w:pPr>
          <w:r w:rsidRPr="001F1A91">
            <w:rPr>
              <w:rFonts w:eastAsia="MS Mincho"/>
              <w:lang w:eastAsia="en-US" w:bidi="ar-SA"/>
            </w:rPr>
            <w:t>Side:</w:t>
          </w:r>
        </w:p>
        <w:p w14:paraId="2C79D784" w14:textId="5B3D4F23" w:rsidR="00DE011B" w:rsidRPr="001F1A91" w:rsidRDefault="00DE011B" w:rsidP="009148EA">
          <w:pPr>
            <w:jc w:val="center"/>
            <w:rPr>
              <w:rFonts w:eastAsia="MS Mincho"/>
              <w:lang w:eastAsia="en-US" w:bidi="ar-SA"/>
            </w:rPr>
          </w:pPr>
          <w:r w:rsidRPr="001F1A91">
            <w:rPr>
              <w:rFonts w:eastAsia="MS Mincho"/>
              <w:lang w:eastAsia="en-US" w:bidi="ar-SA"/>
            </w:rPr>
            <w:fldChar w:fldCharType="begin"/>
          </w:r>
          <w:r w:rsidRPr="001F1A91">
            <w:rPr>
              <w:rFonts w:eastAsia="MS Mincho"/>
              <w:lang w:eastAsia="en-US" w:bidi="ar-SA"/>
            </w:rPr>
            <w:instrText xml:space="preserve"> PAGE </w:instrText>
          </w:r>
          <w:r w:rsidRPr="001F1A91">
            <w:rPr>
              <w:rFonts w:eastAsia="MS Mincho"/>
              <w:lang w:eastAsia="en-US" w:bidi="ar-SA"/>
            </w:rPr>
            <w:fldChar w:fldCharType="separate"/>
          </w:r>
          <w:r w:rsidR="00C208C8">
            <w:rPr>
              <w:rFonts w:eastAsia="MS Mincho"/>
              <w:noProof/>
              <w:lang w:eastAsia="en-US" w:bidi="ar-SA"/>
            </w:rPr>
            <w:t>2</w:t>
          </w:r>
          <w:r w:rsidRPr="001F1A91">
            <w:rPr>
              <w:rFonts w:eastAsia="MS Mincho"/>
              <w:lang w:eastAsia="en-US" w:bidi="ar-SA"/>
            </w:rPr>
            <w:fldChar w:fldCharType="end"/>
          </w:r>
        </w:p>
      </w:tc>
    </w:tr>
    <w:tr w:rsidR="00DE011B" w:rsidRPr="001F1A91" w14:paraId="4DAEF392" w14:textId="77777777" w:rsidTr="00FD1535">
      <w:trPr>
        <w:trHeight w:val="853"/>
      </w:trPr>
      <w:tc>
        <w:tcPr>
          <w:tcW w:w="4140" w:type="dxa"/>
          <w:tcBorders>
            <w:top w:val="single" w:sz="4" w:space="0" w:color="auto"/>
          </w:tcBorders>
        </w:tcPr>
        <w:p w14:paraId="31623C4F" w14:textId="77777777" w:rsidR="00DE011B" w:rsidRPr="001F1A91" w:rsidRDefault="00DE011B" w:rsidP="00821450">
          <w:pPr>
            <w:rPr>
              <w:rFonts w:eastAsia="MS Mincho"/>
              <w:lang w:eastAsia="en-US" w:bidi="ar-SA"/>
            </w:rPr>
          </w:pPr>
          <w:r w:rsidRPr="001F1A91">
            <w:rPr>
              <w:rFonts w:eastAsia="MS Mincho"/>
              <w:lang w:eastAsia="en-US" w:bidi="ar-SA"/>
            </w:rPr>
            <w:t>NorCRIN arbeidspakke 11</w:t>
          </w:r>
        </w:p>
        <w:p w14:paraId="20B07007" w14:textId="77777777" w:rsidR="00DE011B" w:rsidRPr="001F1A91" w:rsidRDefault="00DE011B" w:rsidP="00821450">
          <w:pPr>
            <w:rPr>
              <w:rFonts w:eastAsia="MS Mincho"/>
              <w:lang w:eastAsia="en-US" w:bidi="ar-SA"/>
            </w:rPr>
          </w:pPr>
          <w:r w:rsidRPr="001F1A91">
            <w:rPr>
              <w:rFonts w:eastAsia="MS Mincho"/>
              <w:lang w:eastAsia="en-US" w:bidi="ar-SA"/>
            </w:rPr>
            <w:t>Org enheter til støtte for kliniske studier</w:t>
          </w:r>
        </w:p>
      </w:tc>
      <w:tc>
        <w:tcPr>
          <w:tcW w:w="1276" w:type="dxa"/>
          <w:tcBorders>
            <w:top w:val="single" w:sz="4" w:space="0" w:color="auto"/>
          </w:tcBorders>
        </w:tcPr>
        <w:p w14:paraId="795F237B" w14:textId="77777777" w:rsidR="00DE011B" w:rsidRPr="001F1A91" w:rsidRDefault="00DE011B" w:rsidP="00821450">
          <w:pPr>
            <w:rPr>
              <w:rFonts w:eastAsia="MS Mincho"/>
              <w:lang w:eastAsia="en-US" w:bidi="ar-SA"/>
            </w:rPr>
          </w:pPr>
          <w:r w:rsidRPr="001F1A91">
            <w:rPr>
              <w:rFonts w:eastAsia="MS Mincho"/>
              <w:lang w:eastAsia="en-US" w:bidi="ar-SA"/>
            </w:rPr>
            <w:t xml:space="preserve">Dato: </w:t>
          </w:r>
        </w:p>
        <w:p w14:paraId="45D902D1" w14:textId="6882B74A" w:rsidR="00DE011B" w:rsidRPr="001F1A91" w:rsidRDefault="003C336F" w:rsidP="00821450">
          <w:pPr>
            <w:rPr>
              <w:rFonts w:eastAsia="MS Mincho"/>
              <w:lang w:eastAsia="en-US" w:bidi="ar-SA"/>
            </w:rPr>
          </w:pPr>
          <w:r>
            <w:rPr>
              <w:rFonts w:eastAsia="MS Mincho"/>
              <w:lang w:eastAsia="en-US" w:bidi="ar-SA"/>
            </w:rPr>
            <w:t>Mars</w:t>
          </w:r>
          <w:r w:rsidR="00DE011B">
            <w:rPr>
              <w:rFonts w:eastAsia="MS Mincho"/>
              <w:lang w:eastAsia="en-US" w:bidi="ar-SA"/>
            </w:rPr>
            <w:t xml:space="preserve"> 202</w:t>
          </w:r>
          <w:r>
            <w:rPr>
              <w:rFonts w:eastAsia="MS Mincho"/>
              <w:lang w:eastAsia="en-US" w:bidi="ar-SA"/>
            </w:rPr>
            <w:t>5</w:t>
          </w:r>
        </w:p>
      </w:tc>
      <w:tc>
        <w:tcPr>
          <w:tcW w:w="1134" w:type="dxa"/>
          <w:tcBorders>
            <w:top w:val="single" w:sz="4" w:space="0" w:color="auto"/>
          </w:tcBorders>
        </w:tcPr>
        <w:p w14:paraId="3DF8D93C" w14:textId="0CD92E35" w:rsidR="00DE011B" w:rsidRDefault="00DE011B" w:rsidP="00821450">
          <w:pPr>
            <w:rPr>
              <w:rFonts w:eastAsia="MS Mincho"/>
              <w:lang w:eastAsia="en-US" w:bidi="ar-SA"/>
            </w:rPr>
          </w:pPr>
          <w:r>
            <w:rPr>
              <w:rFonts w:eastAsia="MS Mincho"/>
              <w:lang w:eastAsia="en-US" w:bidi="ar-SA"/>
            </w:rPr>
            <w:t>Versjon:</w:t>
          </w:r>
        </w:p>
        <w:p w14:paraId="0C63A386" w14:textId="4A2D6C96" w:rsidR="00D44551" w:rsidRPr="001F1A91" w:rsidRDefault="00E470B9" w:rsidP="00821450">
          <w:pPr>
            <w:rPr>
              <w:rFonts w:eastAsia="MS Mincho"/>
              <w:lang w:eastAsia="en-US" w:bidi="ar-SA"/>
            </w:rPr>
          </w:pPr>
          <w:r>
            <w:rPr>
              <w:rFonts w:eastAsia="MS Mincho"/>
              <w:lang w:eastAsia="en-US" w:bidi="ar-SA"/>
            </w:rPr>
            <w:t>V2.</w:t>
          </w:r>
          <w:r w:rsidR="00D44551">
            <w:rPr>
              <w:rFonts w:eastAsia="MS Mincho"/>
              <w:lang w:eastAsia="en-US" w:bidi="ar-SA"/>
            </w:rPr>
            <w:t>6</w:t>
          </w:r>
        </w:p>
      </w:tc>
      <w:tc>
        <w:tcPr>
          <w:tcW w:w="3544" w:type="dxa"/>
          <w:tcBorders>
            <w:top w:val="single" w:sz="4" w:space="0" w:color="auto"/>
            <w:bottom w:val="single" w:sz="4" w:space="0" w:color="auto"/>
            <w:right w:val="single" w:sz="4" w:space="0" w:color="auto"/>
          </w:tcBorders>
        </w:tcPr>
        <w:p w14:paraId="11AE61D2" w14:textId="7AF10BEE" w:rsidR="00DE011B" w:rsidRPr="001F1A91" w:rsidRDefault="00DE011B" w:rsidP="00821450">
          <w:pPr>
            <w:rPr>
              <w:rFonts w:eastAsia="MS Mincho"/>
              <w:lang w:eastAsia="en-US" w:bidi="ar-SA"/>
            </w:rPr>
          </w:pPr>
          <w:r w:rsidRPr="001F1A91">
            <w:rPr>
              <w:rFonts w:eastAsia="MS Mincho"/>
              <w:lang w:eastAsia="en-US" w:bidi="ar-SA"/>
            </w:rPr>
            <w:t xml:space="preserve">Kostnadssted: </w:t>
          </w:r>
        </w:p>
        <w:p w14:paraId="0A1E7659" w14:textId="0BBA94C4" w:rsidR="00DE011B" w:rsidRPr="001F1A91" w:rsidRDefault="00DE011B" w:rsidP="00821450">
          <w:pPr>
            <w:rPr>
              <w:rFonts w:eastAsia="MS Mincho"/>
              <w:lang w:eastAsia="en-US" w:bidi="ar-SA"/>
            </w:rPr>
          </w:pPr>
          <w:r>
            <w:rPr>
              <w:rFonts w:eastAsia="MS Mincho"/>
              <w:lang w:eastAsia="en-US" w:bidi="ar-SA"/>
            </w:rPr>
            <w:t>Prosjektnummer: WBS P-101039-12</w:t>
          </w:r>
        </w:p>
      </w:tc>
    </w:tr>
  </w:tbl>
  <w:p w14:paraId="14EC523D" w14:textId="77777777" w:rsidR="00DE011B" w:rsidRDefault="00DE011B" w:rsidP="002A0D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3E6"/>
    <w:multiLevelType w:val="hybridMultilevel"/>
    <w:tmpl w:val="76A4F24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2257B96"/>
    <w:multiLevelType w:val="hybridMultilevel"/>
    <w:tmpl w:val="7A80EC0A"/>
    <w:lvl w:ilvl="0" w:tplc="0414000F">
      <w:start w:val="1"/>
      <w:numFmt w:val="decimal"/>
      <w:lvlText w:val="%1."/>
      <w:lvlJc w:val="left"/>
      <w:pPr>
        <w:ind w:left="360" w:hanging="360"/>
      </w:pPr>
    </w:lvl>
    <w:lvl w:ilvl="1" w:tplc="FFFFFFFF">
      <w:numFmt w:val="bullet"/>
      <w:lvlText w:val="•"/>
      <w:lvlJc w:val="left"/>
      <w:pPr>
        <w:ind w:left="1080" w:hanging="360"/>
      </w:pPr>
      <w:rPr>
        <w:rFonts w:ascii="Calibri" w:hAnsi="Calibri"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02B929F7"/>
    <w:multiLevelType w:val="hybridMultilevel"/>
    <w:tmpl w:val="5ACA7AA4"/>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555342D"/>
    <w:multiLevelType w:val="hybridMultilevel"/>
    <w:tmpl w:val="B9AC95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8443CC2"/>
    <w:multiLevelType w:val="hybridMultilevel"/>
    <w:tmpl w:val="62E8B52C"/>
    <w:lvl w:ilvl="0" w:tplc="C120741E">
      <w:start w:val="1"/>
      <w:numFmt w:val="lowerRoman"/>
      <w:lvlText w:val="%1."/>
      <w:lvlJc w:val="righ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86B0F92"/>
    <w:multiLevelType w:val="hybridMultilevel"/>
    <w:tmpl w:val="333E23FC"/>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96C16E5"/>
    <w:multiLevelType w:val="hybridMultilevel"/>
    <w:tmpl w:val="F3DA81EC"/>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A231D79"/>
    <w:multiLevelType w:val="hybridMultilevel"/>
    <w:tmpl w:val="D11CCDB4"/>
    <w:lvl w:ilvl="0" w:tplc="3CA862E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083C838"/>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645027"/>
    <w:multiLevelType w:val="hybridMultilevel"/>
    <w:tmpl w:val="7640E0DE"/>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BF70F12"/>
    <w:multiLevelType w:val="hybridMultilevel"/>
    <w:tmpl w:val="ABCE91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D226106"/>
    <w:multiLevelType w:val="hybridMultilevel"/>
    <w:tmpl w:val="D552567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2" w15:restartNumberingAfterBreak="0">
    <w:nsid w:val="205B0CEE"/>
    <w:multiLevelType w:val="hybridMultilevel"/>
    <w:tmpl w:val="6FC661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58C355A"/>
    <w:multiLevelType w:val="multilevel"/>
    <w:tmpl w:val="F75E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062650"/>
    <w:multiLevelType w:val="hybridMultilevel"/>
    <w:tmpl w:val="89AE6A7A"/>
    <w:lvl w:ilvl="0" w:tplc="985EEA42">
      <w:start w:val="1"/>
      <w:numFmt w:val="lowerRoman"/>
      <w:lvlText w:val="%1."/>
      <w:lvlJc w:val="righ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15:restartNumberingAfterBreak="0">
    <w:nsid w:val="28796512"/>
    <w:multiLevelType w:val="hybridMultilevel"/>
    <w:tmpl w:val="BA1C7854"/>
    <w:lvl w:ilvl="0" w:tplc="0414001B">
      <w:start w:val="1"/>
      <w:numFmt w:val="lowerRoman"/>
      <w:lvlText w:val="%1."/>
      <w:lvlJc w:val="right"/>
      <w:pPr>
        <w:ind w:left="360" w:hanging="360"/>
      </w:pPr>
    </w:lvl>
    <w:lvl w:ilvl="1" w:tplc="04140001">
      <w:start w:val="1"/>
      <w:numFmt w:val="bullet"/>
      <w:lvlText w:val=""/>
      <w:lvlJc w:val="left"/>
      <w:pPr>
        <w:ind w:left="1080" w:hanging="360"/>
      </w:pPr>
      <w:rPr>
        <w:rFonts w:ascii="Symbol" w:hAnsi="Symbol"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6" w15:restartNumberingAfterBreak="0">
    <w:nsid w:val="2FB90204"/>
    <w:multiLevelType w:val="hybridMultilevel"/>
    <w:tmpl w:val="263E76B4"/>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2DC5E99"/>
    <w:multiLevelType w:val="hybridMultilevel"/>
    <w:tmpl w:val="B2EEC952"/>
    <w:lvl w:ilvl="0" w:tplc="0414001B">
      <w:start w:val="1"/>
      <w:numFmt w:val="lowerRoman"/>
      <w:lvlText w:val="%1."/>
      <w:lvlJc w:val="righ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8" w15:restartNumberingAfterBreak="0">
    <w:nsid w:val="347F231C"/>
    <w:multiLevelType w:val="hybridMultilevel"/>
    <w:tmpl w:val="25EAD796"/>
    <w:lvl w:ilvl="0" w:tplc="0414001B">
      <w:start w:val="1"/>
      <w:numFmt w:val="lowerRoman"/>
      <w:lvlText w:val="%1."/>
      <w:lvlJc w:val="righ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9" w15:restartNumberingAfterBreak="0">
    <w:nsid w:val="36910232"/>
    <w:multiLevelType w:val="hybridMultilevel"/>
    <w:tmpl w:val="FFFFFFFF"/>
    <w:lvl w:ilvl="0" w:tplc="4212176C">
      <w:start w:val="1"/>
      <w:numFmt w:val="bullet"/>
      <w:lvlText w:val="·"/>
      <w:lvlJc w:val="left"/>
      <w:pPr>
        <w:ind w:left="720" w:hanging="360"/>
      </w:pPr>
      <w:rPr>
        <w:rFonts w:ascii="Symbol" w:hAnsi="Symbol" w:hint="default"/>
      </w:rPr>
    </w:lvl>
    <w:lvl w:ilvl="1" w:tplc="D2FC864E">
      <w:start w:val="1"/>
      <w:numFmt w:val="bullet"/>
      <w:lvlText w:val="o"/>
      <w:lvlJc w:val="left"/>
      <w:pPr>
        <w:ind w:left="1440" w:hanging="360"/>
      </w:pPr>
      <w:rPr>
        <w:rFonts w:ascii="Courier New" w:hAnsi="Courier New" w:hint="default"/>
      </w:rPr>
    </w:lvl>
    <w:lvl w:ilvl="2" w:tplc="F7342B26">
      <w:start w:val="1"/>
      <w:numFmt w:val="bullet"/>
      <w:lvlText w:val=""/>
      <w:lvlJc w:val="left"/>
      <w:pPr>
        <w:ind w:left="2160" w:hanging="360"/>
      </w:pPr>
      <w:rPr>
        <w:rFonts w:ascii="Wingdings" w:hAnsi="Wingdings" w:hint="default"/>
      </w:rPr>
    </w:lvl>
    <w:lvl w:ilvl="3" w:tplc="D0200528">
      <w:start w:val="1"/>
      <w:numFmt w:val="bullet"/>
      <w:lvlText w:val=""/>
      <w:lvlJc w:val="left"/>
      <w:pPr>
        <w:ind w:left="2880" w:hanging="360"/>
      </w:pPr>
      <w:rPr>
        <w:rFonts w:ascii="Symbol" w:hAnsi="Symbol" w:hint="default"/>
      </w:rPr>
    </w:lvl>
    <w:lvl w:ilvl="4" w:tplc="2B14EC80">
      <w:start w:val="1"/>
      <w:numFmt w:val="bullet"/>
      <w:lvlText w:val="o"/>
      <w:lvlJc w:val="left"/>
      <w:pPr>
        <w:ind w:left="3600" w:hanging="360"/>
      </w:pPr>
      <w:rPr>
        <w:rFonts w:ascii="Courier New" w:hAnsi="Courier New" w:hint="default"/>
      </w:rPr>
    </w:lvl>
    <w:lvl w:ilvl="5" w:tplc="9D36B0DA">
      <w:start w:val="1"/>
      <w:numFmt w:val="bullet"/>
      <w:lvlText w:val=""/>
      <w:lvlJc w:val="left"/>
      <w:pPr>
        <w:ind w:left="4320" w:hanging="360"/>
      </w:pPr>
      <w:rPr>
        <w:rFonts w:ascii="Wingdings" w:hAnsi="Wingdings" w:hint="default"/>
      </w:rPr>
    </w:lvl>
    <w:lvl w:ilvl="6" w:tplc="4AEEEE2E">
      <w:start w:val="1"/>
      <w:numFmt w:val="bullet"/>
      <w:lvlText w:val=""/>
      <w:lvlJc w:val="left"/>
      <w:pPr>
        <w:ind w:left="5040" w:hanging="360"/>
      </w:pPr>
      <w:rPr>
        <w:rFonts w:ascii="Symbol" w:hAnsi="Symbol" w:hint="default"/>
      </w:rPr>
    </w:lvl>
    <w:lvl w:ilvl="7" w:tplc="15F49886">
      <w:start w:val="1"/>
      <w:numFmt w:val="bullet"/>
      <w:lvlText w:val="o"/>
      <w:lvlJc w:val="left"/>
      <w:pPr>
        <w:ind w:left="5760" w:hanging="360"/>
      </w:pPr>
      <w:rPr>
        <w:rFonts w:ascii="Courier New" w:hAnsi="Courier New" w:hint="default"/>
      </w:rPr>
    </w:lvl>
    <w:lvl w:ilvl="8" w:tplc="CDD4B23E">
      <w:start w:val="1"/>
      <w:numFmt w:val="bullet"/>
      <w:lvlText w:val=""/>
      <w:lvlJc w:val="left"/>
      <w:pPr>
        <w:ind w:left="6480" w:hanging="360"/>
      </w:pPr>
      <w:rPr>
        <w:rFonts w:ascii="Wingdings" w:hAnsi="Wingdings" w:hint="default"/>
      </w:rPr>
    </w:lvl>
  </w:abstractNum>
  <w:abstractNum w:abstractNumId="20" w15:restartNumberingAfterBreak="0">
    <w:nsid w:val="36A0C4E0"/>
    <w:multiLevelType w:val="hybridMultilevel"/>
    <w:tmpl w:val="FFFFFFFF"/>
    <w:lvl w:ilvl="0" w:tplc="18385A86">
      <w:start w:val="1"/>
      <w:numFmt w:val="bullet"/>
      <w:lvlText w:val="·"/>
      <w:lvlJc w:val="left"/>
      <w:pPr>
        <w:ind w:left="720" w:hanging="360"/>
      </w:pPr>
      <w:rPr>
        <w:rFonts w:ascii="Symbol" w:hAnsi="Symbol" w:hint="default"/>
      </w:rPr>
    </w:lvl>
    <w:lvl w:ilvl="1" w:tplc="2230EEF6">
      <w:start w:val="1"/>
      <w:numFmt w:val="bullet"/>
      <w:lvlText w:val="o"/>
      <w:lvlJc w:val="left"/>
      <w:pPr>
        <w:ind w:left="1440" w:hanging="360"/>
      </w:pPr>
      <w:rPr>
        <w:rFonts w:ascii="Courier New" w:hAnsi="Courier New" w:hint="default"/>
      </w:rPr>
    </w:lvl>
    <w:lvl w:ilvl="2" w:tplc="0816700E">
      <w:start w:val="1"/>
      <w:numFmt w:val="bullet"/>
      <w:lvlText w:val=""/>
      <w:lvlJc w:val="left"/>
      <w:pPr>
        <w:ind w:left="2160" w:hanging="360"/>
      </w:pPr>
      <w:rPr>
        <w:rFonts w:ascii="Wingdings" w:hAnsi="Wingdings" w:hint="default"/>
      </w:rPr>
    </w:lvl>
    <w:lvl w:ilvl="3" w:tplc="573AB7B6">
      <w:start w:val="1"/>
      <w:numFmt w:val="bullet"/>
      <w:lvlText w:val=""/>
      <w:lvlJc w:val="left"/>
      <w:pPr>
        <w:ind w:left="2880" w:hanging="360"/>
      </w:pPr>
      <w:rPr>
        <w:rFonts w:ascii="Symbol" w:hAnsi="Symbol" w:hint="default"/>
      </w:rPr>
    </w:lvl>
    <w:lvl w:ilvl="4" w:tplc="33FE06E6">
      <w:start w:val="1"/>
      <w:numFmt w:val="bullet"/>
      <w:lvlText w:val="o"/>
      <w:lvlJc w:val="left"/>
      <w:pPr>
        <w:ind w:left="3600" w:hanging="360"/>
      </w:pPr>
      <w:rPr>
        <w:rFonts w:ascii="Courier New" w:hAnsi="Courier New" w:hint="default"/>
      </w:rPr>
    </w:lvl>
    <w:lvl w:ilvl="5" w:tplc="E92CD736">
      <w:start w:val="1"/>
      <w:numFmt w:val="bullet"/>
      <w:lvlText w:val=""/>
      <w:lvlJc w:val="left"/>
      <w:pPr>
        <w:ind w:left="4320" w:hanging="360"/>
      </w:pPr>
      <w:rPr>
        <w:rFonts w:ascii="Wingdings" w:hAnsi="Wingdings" w:hint="default"/>
      </w:rPr>
    </w:lvl>
    <w:lvl w:ilvl="6" w:tplc="DCD42BCA">
      <w:start w:val="1"/>
      <w:numFmt w:val="bullet"/>
      <w:lvlText w:val=""/>
      <w:lvlJc w:val="left"/>
      <w:pPr>
        <w:ind w:left="5040" w:hanging="360"/>
      </w:pPr>
      <w:rPr>
        <w:rFonts w:ascii="Symbol" w:hAnsi="Symbol" w:hint="default"/>
      </w:rPr>
    </w:lvl>
    <w:lvl w:ilvl="7" w:tplc="6D06DC36">
      <w:start w:val="1"/>
      <w:numFmt w:val="bullet"/>
      <w:lvlText w:val="o"/>
      <w:lvlJc w:val="left"/>
      <w:pPr>
        <w:ind w:left="5760" w:hanging="360"/>
      </w:pPr>
      <w:rPr>
        <w:rFonts w:ascii="Courier New" w:hAnsi="Courier New" w:hint="default"/>
      </w:rPr>
    </w:lvl>
    <w:lvl w:ilvl="8" w:tplc="A1049B86">
      <w:start w:val="1"/>
      <w:numFmt w:val="bullet"/>
      <w:lvlText w:val=""/>
      <w:lvlJc w:val="left"/>
      <w:pPr>
        <w:ind w:left="6480" w:hanging="360"/>
      </w:pPr>
      <w:rPr>
        <w:rFonts w:ascii="Wingdings" w:hAnsi="Wingdings" w:hint="default"/>
      </w:rPr>
    </w:lvl>
  </w:abstractNum>
  <w:abstractNum w:abstractNumId="21" w15:restartNumberingAfterBreak="0">
    <w:nsid w:val="37101ECB"/>
    <w:multiLevelType w:val="multilevel"/>
    <w:tmpl w:val="13FC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DE0174"/>
    <w:multiLevelType w:val="hybridMultilevel"/>
    <w:tmpl w:val="D938B7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8316410"/>
    <w:multiLevelType w:val="hybridMultilevel"/>
    <w:tmpl w:val="1B9A3BD4"/>
    <w:lvl w:ilvl="0" w:tplc="0414001B">
      <w:start w:val="1"/>
      <w:numFmt w:val="lowerRoman"/>
      <w:lvlText w:val="%1."/>
      <w:lvlJc w:val="righ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4" w15:restartNumberingAfterBreak="0">
    <w:nsid w:val="38525BE8"/>
    <w:multiLevelType w:val="multilevel"/>
    <w:tmpl w:val="1BECA7D4"/>
    <w:lvl w:ilvl="0">
      <w:start w:val="1"/>
      <w:numFmt w:val="decimal"/>
      <w:pStyle w:val="Overskrift1"/>
      <w:lvlText w:val="%1"/>
      <w:lvlJc w:val="left"/>
      <w:pPr>
        <w:tabs>
          <w:tab w:val="num" w:pos="432"/>
        </w:tabs>
        <w:ind w:left="432" w:hanging="432"/>
      </w:pPr>
      <w:rPr>
        <w:rFonts w:ascii="Calibri" w:hAnsi="Calibri"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verskrift2"/>
      <w:lvlText w:val="%1.%2"/>
      <w:lvlJc w:val="left"/>
      <w:pPr>
        <w:tabs>
          <w:tab w:val="num" w:pos="576"/>
        </w:tabs>
        <w:ind w:left="576" w:hanging="576"/>
      </w:pPr>
      <w:rPr>
        <w:rFonts w:ascii="Calibri" w:hAnsi="Calibri" w:hint="default"/>
        <w:b/>
        <w:i w:val="0"/>
        <w:sz w:val="22"/>
        <w:szCs w:val="24"/>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1574"/>
        </w:tabs>
        <w:ind w:left="157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25" w15:restartNumberingAfterBreak="0">
    <w:nsid w:val="387F232F"/>
    <w:multiLevelType w:val="hybridMultilevel"/>
    <w:tmpl w:val="F05A63A8"/>
    <w:lvl w:ilvl="0" w:tplc="0414001B">
      <w:start w:val="1"/>
      <w:numFmt w:val="lowerRoman"/>
      <w:lvlText w:val="%1."/>
      <w:lvlJc w:val="righ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3C733753"/>
    <w:multiLevelType w:val="hybridMultilevel"/>
    <w:tmpl w:val="2DFEA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587614"/>
    <w:multiLevelType w:val="hybridMultilevel"/>
    <w:tmpl w:val="7FBA724E"/>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3EDBA129"/>
    <w:multiLevelType w:val="hybridMultilevel"/>
    <w:tmpl w:val="FFFFFFFF"/>
    <w:lvl w:ilvl="0" w:tplc="192630FA">
      <w:start w:val="1"/>
      <w:numFmt w:val="bullet"/>
      <w:lvlText w:val="·"/>
      <w:lvlJc w:val="left"/>
      <w:pPr>
        <w:ind w:left="720" w:hanging="360"/>
      </w:pPr>
      <w:rPr>
        <w:rFonts w:ascii="Symbol" w:hAnsi="Symbol" w:hint="default"/>
      </w:rPr>
    </w:lvl>
    <w:lvl w:ilvl="1" w:tplc="5756DDC4">
      <w:start w:val="1"/>
      <w:numFmt w:val="bullet"/>
      <w:lvlText w:val="o"/>
      <w:lvlJc w:val="left"/>
      <w:pPr>
        <w:ind w:left="1440" w:hanging="360"/>
      </w:pPr>
      <w:rPr>
        <w:rFonts w:ascii="Courier New" w:hAnsi="Courier New" w:hint="default"/>
      </w:rPr>
    </w:lvl>
    <w:lvl w:ilvl="2" w:tplc="2E049FD4">
      <w:start w:val="1"/>
      <w:numFmt w:val="bullet"/>
      <w:lvlText w:val=""/>
      <w:lvlJc w:val="left"/>
      <w:pPr>
        <w:ind w:left="2160" w:hanging="360"/>
      </w:pPr>
      <w:rPr>
        <w:rFonts w:ascii="Wingdings" w:hAnsi="Wingdings" w:hint="default"/>
      </w:rPr>
    </w:lvl>
    <w:lvl w:ilvl="3" w:tplc="0FF0D9D2">
      <w:start w:val="1"/>
      <w:numFmt w:val="bullet"/>
      <w:lvlText w:val=""/>
      <w:lvlJc w:val="left"/>
      <w:pPr>
        <w:ind w:left="2880" w:hanging="360"/>
      </w:pPr>
      <w:rPr>
        <w:rFonts w:ascii="Symbol" w:hAnsi="Symbol" w:hint="default"/>
      </w:rPr>
    </w:lvl>
    <w:lvl w:ilvl="4" w:tplc="D75CA056">
      <w:start w:val="1"/>
      <w:numFmt w:val="bullet"/>
      <w:lvlText w:val="o"/>
      <w:lvlJc w:val="left"/>
      <w:pPr>
        <w:ind w:left="3600" w:hanging="360"/>
      </w:pPr>
      <w:rPr>
        <w:rFonts w:ascii="Courier New" w:hAnsi="Courier New" w:hint="default"/>
      </w:rPr>
    </w:lvl>
    <w:lvl w:ilvl="5" w:tplc="AAE0E666">
      <w:start w:val="1"/>
      <w:numFmt w:val="bullet"/>
      <w:lvlText w:val=""/>
      <w:lvlJc w:val="left"/>
      <w:pPr>
        <w:ind w:left="4320" w:hanging="360"/>
      </w:pPr>
      <w:rPr>
        <w:rFonts w:ascii="Wingdings" w:hAnsi="Wingdings" w:hint="default"/>
      </w:rPr>
    </w:lvl>
    <w:lvl w:ilvl="6" w:tplc="9BBADAFC">
      <w:start w:val="1"/>
      <w:numFmt w:val="bullet"/>
      <w:lvlText w:val=""/>
      <w:lvlJc w:val="left"/>
      <w:pPr>
        <w:ind w:left="5040" w:hanging="360"/>
      </w:pPr>
      <w:rPr>
        <w:rFonts w:ascii="Symbol" w:hAnsi="Symbol" w:hint="default"/>
      </w:rPr>
    </w:lvl>
    <w:lvl w:ilvl="7" w:tplc="9FB8EE08">
      <w:start w:val="1"/>
      <w:numFmt w:val="bullet"/>
      <w:lvlText w:val="o"/>
      <w:lvlJc w:val="left"/>
      <w:pPr>
        <w:ind w:left="5760" w:hanging="360"/>
      </w:pPr>
      <w:rPr>
        <w:rFonts w:ascii="Courier New" w:hAnsi="Courier New" w:hint="default"/>
      </w:rPr>
    </w:lvl>
    <w:lvl w:ilvl="8" w:tplc="5F085478">
      <w:start w:val="1"/>
      <w:numFmt w:val="bullet"/>
      <w:lvlText w:val=""/>
      <w:lvlJc w:val="left"/>
      <w:pPr>
        <w:ind w:left="6480" w:hanging="360"/>
      </w:pPr>
      <w:rPr>
        <w:rFonts w:ascii="Wingdings" w:hAnsi="Wingdings" w:hint="default"/>
      </w:rPr>
    </w:lvl>
  </w:abstractNum>
  <w:abstractNum w:abstractNumId="29" w15:restartNumberingAfterBreak="0">
    <w:nsid w:val="3F75284B"/>
    <w:multiLevelType w:val="hybridMultilevel"/>
    <w:tmpl w:val="F7866BDA"/>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450B6994"/>
    <w:multiLevelType w:val="hybridMultilevel"/>
    <w:tmpl w:val="5F4670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454B0B04"/>
    <w:multiLevelType w:val="hybridMultilevel"/>
    <w:tmpl w:val="86DAF73C"/>
    <w:lvl w:ilvl="0" w:tplc="0414001B">
      <w:start w:val="1"/>
      <w:numFmt w:val="lowerRoman"/>
      <w:lvlText w:val="%1."/>
      <w:lvlJc w:val="righ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2" w15:restartNumberingAfterBreak="0">
    <w:nsid w:val="46CD726F"/>
    <w:multiLevelType w:val="hybridMultilevel"/>
    <w:tmpl w:val="1B9A3BD4"/>
    <w:lvl w:ilvl="0" w:tplc="0414001B">
      <w:start w:val="1"/>
      <w:numFmt w:val="lowerRoman"/>
      <w:lvlText w:val="%1."/>
      <w:lvlJc w:val="righ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3" w15:restartNumberingAfterBreak="0">
    <w:nsid w:val="46E61F0F"/>
    <w:multiLevelType w:val="hybridMultilevel"/>
    <w:tmpl w:val="876CB6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4A137D00"/>
    <w:multiLevelType w:val="hybridMultilevel"/>
    <w:tmpl w:val="77848A2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5" w15:restartNumberingAfterBreak="0">
    <w:nsid w:val="4A8940F7"/>
    <w:multiLevelType w:val="hybridMultilevel"/>
    <w:tmpl w:val="13CCCDBE"/>
    <w:lvl w:ilvl="0" w:tplc="0414001B">
      <w:start w:val="1"/>
      <w:numFmt w:val="lowerRoman"/>
      <w:lvlText w:val="%1."/>
      <w:lvlJc w:val="righ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6" w15:restartNumberingAfterBreak="0">
    <w:nsid w:val="4A992097"/>
    <w:multiLevelType w:val="hybridMultilevel"/>
    <w:tmpl w:val="D566683E"/>
    <w:lvl w:ilvl="0" w:tplc="04140019">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7" w15:restartNumberingAfterBreak="0">
    <w:nsid w:val="4CEA1381"/>
    <w:multiLevelType w:val="hybridMultilevel"/>
    <w:tmpl w:val="FFFFFFFF"/>
    <w:lvl w:ilvl="0" w:tplc="8EE2E1B8">
      <w:start w:val="1"/>
      <w:numFmt w:val="bullet"/>
      <w:lvlText w:val="·"/>
      <w:lvlJc w:val="left"/>
      <w:pPr>
        <w:ind w:left="720" w:hanging="360"/>
      </w:pPr>
      <w:rPr>
        <w:rFonts w:ascii="Symbol" w:hAnsi="Symbol" w:hint="default"/>
      </w:rPr>
    </w:lvl>
    <w:lvl w:ilvl="1" w:tplc="07CCA162">
      <w:start w:val="1"/>
      <w:numFmt w:val="bullet"/>
      <w:lvlText w:val="o"/>
      <w:lvlJc w:val="left"/>
      <w:pPr>
        <w:ind w:left="1440" w:hanging="360"/>
      </w:pPr>
      <w:rPr>
        <w:rFonts w:ascii="Courier New" w:hAnsi="Courier New" w:hint="default"/>
      </w:rPr>
    </w:lvl>
    <w:lvl w:ilvl="2" w:tplc="AC6EAC44">
      <w:start w:val="1"/>
      <w:numFmt w:val="bullet"/>
      <w:lvlText w:val=""/>
      <w:lvlJc w:val="left"/>
      <w:pPr>
        <w:ind w:left="2160" w:hanging="360"/>
      </w:pPr>
      <w:rPr>
        <w:rFonts w:ascii="Wingdings" w:hAnsi="Wingdings" w:hint="default"/>
      </w:rPr>
    </w:lvl>
    <w:lvl w:ilvl="3" w:tplc="3D6822A2">
      <w:start w:val="1"/>
      <w:numFmt w:val="bullet"/>
      <w:lvlText w:val=""/>
      <w:lvlJc w:val="left"/>
      <w:pPr>
        <w:ind w:left="2880" w:hanging="360"/>
      </w:pPr>
      <w:rPr>
        <w:rFonts w:ascii="Symbol" w:hAnsi="Symbol" w:hint="default"/>
      </w:rPr>
    </w:lvl>
    <w:lvl w:ilvl="4" w:tplc="044AF3F2">
      <w:start w:val="1"/>
      <w:numFmt w:val="bullet"/>
      <w:lvlText w:val="o"/>
      <w:lvlJc w:val="left"/>
      <w:pPr>
        <w:ind w:left="3600" w:hanging="360"/>
      </w:pPr>
      <w:rPr>
        <w:rFonts w:ascii="Courier New" w:hAnsi="Courier New" w:hint="default"/>
      </w:rPr>
    </w:lvl>
    <w:lvl w:ilvl="5" w:tplc="3EE06968">
      <w:start w:val="1"/>
      <w:numFmt w:val="bullet"/>
      <w:lvlText w:val=""/>
      <w:lvlJc w:val="left"/>
      <w:pPr>
        <w:ind w:left="4320" w:hanging="360"/>
      </w:pPr>
      <w:rPr>
        <w:rFonts w:ascii="Wingdings" w:hAnsi="Wingdings" w:hint="default"/>
      </w:rPr>
    </w:lvl>
    <w:lvl w:ilvl="6" w:tplc="4A447C1C">
      <w:start w:val="1"/>
      <w:numFmt w:val="bullet"/>
      <w:lvlText w:val=""/>
      <w:lvlJc w:val="left"/>
      <w:pPr>
        <w:ind w:left="5040" w:hanging="360"/>
      </w:pPr>
      <w:rPr>
        <w:rFonts w:ascii="Symbol" w:hAnsi="Symbol" w:hint="default"/>
      </w:rPr>
    </w:lvl>
    <w:lvl w:ilvl="7" w:tplc="E52202D8">
      <w:start w:val="1"/>
      <w:numFmt w:val="bullet"/>
      <w:lvlText w:val="o"/>
      <w:lvlJc w:val="left"/>
      <w:pPr>
        <w:ind w:left="5760" w:hanging="360"/>
      </w:pPr>
      <w:rPr>
        <w:rFonts w:ascii="Courier New" w:hAnsi="Courier New" w:hint="default"/>
      </w:rPr>
    </w:lvl>
    <w:lvl w:ilvl="8" w:tplc="8C3A3166">
      <w:start w:val="1"/>
      <w:numFmt w:val="bullet"/>
      <w:lvlText w:val=""/>
      <w:lvlJc w:val="left"/>
      <w:pPr>
        <w:ind w:left="6480" w:hanging="360"/>
      </w:pPr>
      <w:rPr>
        <w:rFonts w:ascii="Wingdings" w:hAnsi="Wingdings" w:hint="default"/>
      </w:rPr>
    </w:lvl>
  </w:abstractNum>
  <w:abstractNum w:abstractNumId="38" w15:restartNumberingAfterBreak="0">
    <w:nsid w:val="4DD76B54"/>
    <w:multiLevelType w:val="hybridMultilevel"/>
    <w:tmpl w:val="25128BD0"/>
    <w:lvl w:ilvl="0" w:tplc="F82671D0">
      <w:numFmt w:val="bullet"/>
      <w:lvlText w:val="-"/>
      <w:lvlJc w:val="left"/>
      <w:pPr>
        <w:ind w:left="720" w:hanging="360"/>
      </w:pPr>
      <w:rPr>
        <w:rFonts w:ascii="Calibri" w:eastAsiaTheme="minorHAnsi"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50B14B58"/>
    <w:multiLevelType w:val="hybridMultilevel"/>
    <w:tmpl w:val="68FC12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5537544E"/>
    <w:multiLevelType w:val="hybridMultilevel"/>
    <w:tmpl w:val="183C05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58DA73EC"/>
    <w:multiLevelType w:val="hybridMultilevel"/>
    <w:tmpl w:val="D4E26824"/>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59445DAE"/>
    <w:multiLevelType w:val="hybridMultilevel"/>
    <w:tmpl w:val="FFFFFFFF"/>
    <w:lvl w:ilvl="0" w:tplc="F534767E">
      <w:start w:val="1"/>
      <w:numFmt w:val="bullet"/>
      <w:lvlText w:val=""/>
      <w:lvlJc w:val="left"/>
      <w:pPr>
        <w:ind w:left="720" w:hanging="360"/>
      </w:pPr>
      <w:rPr>
        <w:rFonts w:ascii="Symbol" w:hAnsi="Symbol" w:hint="default"/>
      </w:rPr>
    </w:lvl>
    <w:lvl w:ilvl="1" w:tplc="4F14007A">
      <w:start w:val="1"/>
      <w:numFmt w:val="bullet"/>
      <w:lvlText w:val="o"/>
      <w:lvlJc w:val="left"/>
      <w:pPr>
        <w:ind w:left="1440" w:hanging="360"/>
      </w:pPr>
      <w:rPr>
        <w:rFonts w:ascii="Courier New" w:hAnsi="Courier New" w:hint="default"/>
      </w:rPr>
    </w:lvl>
    <w:lvl w:ilvl="2" w:tplc="C3EA9168">
      <w:start w:val="1"/>
      <w:numFmt w:val="bullet"/>
      <w:lvlText w:val=""/>
      <w:lvlJc w:val="left"/>
      <w:pPr>
        <w:ind w:left="2160" w:hanging="360"/>
      </w:pPr>
      <w:rPr>
        <w:rFonts w:ascii="Wingdings" w:hAnsi="Wingdings" w:hint="default"/>
      </w:rPr>
    </w:lvl>
    <w:lvl w:ilvl="3" w:tplc="DBE6C8DE">
      <w:start w:val="1"/>
      <w:numFmt w:val="bullet"/>
      <w:lvlText w:val=""/>
      <w:lvlJc w:val="left"/>
      <w:pPr>
        <w:ind w:left="2880" w:hanging="360"/>
      </w:pPr>
      <w:rPr>
        <w:rFonts w:ascii="Symbol" w:hAnsi="Symbol" w:hint="default"/>
      </w:rPr>
    </w:lvl>
    <w:lvl w:ilvl="4" w:tplc="6B2CF3B6">
      <w:start w:val="1"/>
      <w:numFmt w:val="bullet"/>
      <w:lvlText w:val="o"/>
      <w:lvlJc w:val="left"/>
      <w:pPr>
        <w:ind w:left="3600" w:hanging="360"/>
      </w:pPr>
      <w:rPr>
        <w:rFonts w:ascii="Courier New" w:hAnsi="Courier New" w:hint="default"/>
      </w:rPr>
    </w:lvl>
    <w:lvl w:ilvl="5" w:tplc="39EEE79E">
      <w:start w:val="1"/>
      <w:numFmt w:val="bullet"/>
      <w:lvlText w:val=""/>
      <w:lvlJc w:val="left"/>
      <w:pPr>
        <w:ind w:left="4320" w:hanging="360"/>
      </w:pPr>
      <w:rPr>
        <w:rFonts w:ascii="Wingdings" w:hAnsi="Wingdings" w:hint="default"/>
      </w:rPr>
    </w:lvl>
    <w:lvl w:ilvl="6" w:tplc="42FC22BA">
      <w:start w:val="1"/>
      <w:numFmt w:val="bullet"/>
      <w:lvlText w:val=""/>
      <w:lvlJc w:val="left"/>
      <w:pPr>
        <w:ind w:left="5040" w:hanging="360"/>
      </w:pPr>
      <w:rPr>
        <w:rFonts w:ascii="Symbol" w:hAnsi="Symbol" w:hint="default"/>
      </w:rPr>
    </w:lvl>
    <w:lvl w:ilvl="7" w:tplc="89A60FA0">
      <w:start w:val="1"/>
      <w:numFmt w:val="bullet"/>
      <w:lvlText w:val="o"/>
      <w:lvlJc w:val="left"/>
      <w:pPr>
        <w:ind w:left="5760" w:hanging="360"/>
      </w:pPr>
      <w:rPr>
        <w:rFonts w:ascii="Courier New" w:hAnsi="Courier New" w:hint="default"/>
      </w:rPr>
    </w:lvl>
    <w:lvl w:ilvl="8" w:tplc="D3749D3C">
      <w:start w:val="1"/>
      <w:numFmt w:val="bullet"/>
      <w:lvlText w:val=""/>
      <w:lvlJc w:val="left"/>
      <w:pPr>
        <w:ind w:left="6480" w:hanging="360"/>
      </w:pPr>
      <w:rPr>
        <w:rFonts w:ascii="Wingdings" w:hAnsi="Wingdings" w:hint="default"/>
      </w:rPr>
    </w:lvl>
  </w:abstractNum>
  <w:abstractNum w:abstractNumId="43" w15:restartNumberingAfterBreak="0">
    <w:nsid w:val="5B1F05DC"/>
    <w:multiLevelType w:val="hybridMultilevel"/>
    <w:tmpl w:val="CFF6B78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4" w15:restartNumberingAfterBreak="0">
    <w:nsid w:val="5B230E95"/>
    <w:multiLevelType w:val="hybridMultilevel"/>
    <w:tmpl w:val="41EEA414"/>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5" w15:restartNumberingAfterBreak="0">
    <w:nsid w:val="5E6A5A59"/>
    <w:multiLevelType w:val="hybridMultilevel"/>
    <w:tmpl w:val="81F62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EC15DC7"/>
    <w:multiLevelType w:val="hybridMultilevel"/>
    <w:tmpl w:val="AE8819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15:restartNumberingAfterBreak="0">
    <w:nsid w:val="5F911447"/>
    <w:multiLevelType w:val="hybridMultilevel"/>
    <w:tmpl w:val="1CF0660A"/>
    <w:lvl w:ilvl="0" w:tplc="0414001B">
      <w:start w:val="1"/>
      <w:numFmt w:val="low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48" w15:restartNumberingAfterBreak="0">
    <w:nsid w:val="633C30DE"/>
    <w:multiLevelType w:val="hybridMultilevel"/>
    <w:tmpl w:val="06F2AD64"/>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9" w15:restartNumberingAfterBreak="0">
    <w:nsid w:val="647B0F08"/>
    <w:multiLevelType w:val="hybridMultilevel"/>
    <w:tmpl w:val="CA78F7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0" w15:restartNumberingAfterBreak="0">
    <w:nsid w:val="65622D08"/>
    <w:multiLevelType w:val="hybridMultilevel"/>
    <w:tmpl w:val="810041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1" w15:restartNumberingAfterBreak="0">
    <w:nsid w:val="67CF32FC"/>
    <w:multiLevelType w:val="hybridMultilevel"/>
    <w:tmpl w:val="463003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2" w15:restartNumberingAfterBreak="0">
    <w:nsid w:val="68624DA2"/>
    <w:multiLevelType w:val="multilevel"/>
    <w:tmpl w:val="113E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CFE22D4"/>
    <w:multiLevelType w:val="hybridMultilevel"/>
    <w:tmpl w:val="9FF4C6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4" w15:restartNumberingAfterBreak="0">
    <w:nsid w:val="6DE66096"/>
    <w:multiLevelType w:val="hybridMultilevel"/>
    <w:tmpl w:val="B2F29CD8"/>
    <w:lvl w:ilvl="0" w:tplc="3CA862E8">
      <w:numFmt w:val="bullet"/>
      <w:lvlText w:val="-"/>
      <w:lvlJc w:val="left"/>
      <w:pPr>
        <w:ind w:left="720" w:hanging="360"/>
      </w:pPr>
      <w:rPr>
        <w:rFonts w:ascii="Calibri" w:eastAsiaTheme="minorHAnsi"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5" w15:restartNumberingAfterBreak="0">
    <w:nsid w:val="70065854"/>
    <w:multiLevelType w:val="hybridMultilevel"/>
    <w:tmpl w:val="B6509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562DB1B"/>
    <w:multiLevelType w:val="hybridMultilevel"/>
    <w:tmpl w:val="FFFFFFFF"/>
    <w:lvl w:ilvl="0" w:tplc="A39041F2">
      <w:start w:val="1"/>
      <w:numFmt w:val="bullet"/>
      <w:lvlText w:val="·"/>
      <w:lvlJc w:val="left"/>
      <w:pPr>
        <w:ind w:left="720" w:hanging="360"/>
      </w:pPr>
      <w:rPr>
        <w:rFonts w:ascii="Symbol" w:hAnsi="Symbol" w:hint="default"/>
      </w:rPr>
    </w:lvl>
    <w:lvl w:ilvl="1" w:tplc="3CDE835A">
      <w:start w:val="1"/>
      <w:numFmt w:val="bullet"/>
      <w:lvlText w:val="o"/>
      <w:lvlJc w:val="left"/>
      <w:pPr>
        <w:ind w:left="1440" w:hanging="360"/>
      </w:pPr>
      <w:rPr>
        <w:rFonts w:ascii="Courier New" w:hAnsi="Courier New" w:hint="default"/>
      </w:rPr>
    </w:lvl>
    <w:lvl w:ilvl="2" w:tplc="A41A255C">
      <w:start w:val="1"/>
      <w:numFmt w:val="bullet"/>
      <w:lvlText w:val=""/>
      <w:lvlJc w:val="left"/>
      <w:pPr>
        <w:ind w:left="2160" w:hanging="360"/>
      </w:pPr>
      <w:rPr>
        <w:rFonts w:ascii="Wingdings" w:hAnsi="Wingdings" w:hint="default"/>
      </w:rPr>
    </w:lvl>
    <w:lvl w:ilvl="3" w:tplc="8820CF2E">
      <w:start w:val="1"/>
      <w:numFmt w:val="bullet"/>
      <w:lvlText w:val=""/>
      <w:lvlJc w:val="left"/>
      <w:pPr>
        <w:ind w:left="2880" w:hanging="360"/>
      </w:pPr>
      <w:rPr>
        <w:rFonts w:ascii="Symbol" w:hAnsi="Symbol" w:hint="default"/>
      </w:rPr>
    </w:lvl>
    <w:lvl w:ilvl="4" w:tplc="9882421C">
      <w:start w:val="1"/>
      <w:numFmt w:val="bullet"/>
      <w:lvlText w:val="o"/>
      <w:lvlJc w:val="left"/>
      <w:pPr>
        <w:ind w:left="3600" w:hanging="360"/>
      </w:pPr>
      <w:rPr>
        <w:rFonts w:ascii="Courier New" w:hAnsi="Courier New" w:hint="default"/>
      </w:rPr>
    </w:lvl>
    <w:lvl w:ilvl="5" w:tplc="AEF0D0CA">
      <w:start w:val="1"/>
      <w:numFmt w:val="bullet"/>
      <w:lvlText w:val=""/>
      <w:lvlJc w:val="left"/>
      <w:pPr>
        <w:ind w:left="4320" w:hanging="360"/>
      </w:pPr>
      <w:rPr>
        <w:rFonts w:ascii="Wingdings" w:hAnsi="Wingdings" w:hint="default"/>
      </w:rPr>
    </w:lvl>
    <w:lvl w:ilvl="6" w:tplc="71B49D62">
      <w:start w:val="1"/>
      <w:numFmt w:val="bullet"/>
      <w:lvlText w:val=""/>
      <w:lvlJc w:val="left"/>
      <w:pPr>
        <w:ind w:left="5040" w:hanging="360"/>
      </w:pPr>
      <w:rPr>
        <w:rFonts w:ascii="Symbol" w:hAnsi="Symbol" w:hint="default"/>
      </w:rPr>
    </w:lvl>
    <w:lvl w:ilvl="7" w:tplc="1F7425D4">
      <w:start w:val="1"/>
      <w:numFmt w:val="bullet"/>
      <w:lvlText w:val="o"/>
      <w:lvlJc w:val="left"/>
      <w:pPr>
        <w:ind w:left="5760" w:hanging="360"/>
      </w:pPr>
      <w:rPr>
        <w:rFonts w:ascii="Courier New" w:hAnsi="Courier New" w:hint="default"/>
      </w:rPr>
    </w:lvl>
    <w:lvl w:ilvl="8" w:tplc="9A149A90">
      <w:start w:val="1"/>
      <w:numFmt w:val="bullet"/>
      <w:lvlText w:val=""/>
      <w:lvlJc w:val="left"/>
      <w:pPr>
        <w:ind w:left="6480" w:hanging="360"/>
      </w:pPr>
      <w:rPr>
        <w:rFonts w:ascii="Wingdings" w:hAnsi="Wingdings" w:hint="default"/>
      </w:rPr>
    </w:lvl>
  </w:abstractNum>
  <w:abstractNum w:abstractNumId="57" w15:restartNumberingAfterBreak="0">
    <w:nsid w:val="771654E3"/>
    <w:multiLevelType w:val="hybridMultilevel"/>
    <w:tmpl w:val="A44C941A"/>
    <w:lvl w:ilvl="0" w:tplc="0414001B">
      <w:start w:val="1"/>
      <w:numFmt w:val="lowerRoman"/>
      <w:lvlText w:val="%1."/>
      <w:lvlJc w:val="righ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8" w15:restartNumberingAfterBreak="0">
    <w:nsid w:val="78A17CD6"/>
    <w:multiLevelType w:val="hybridMultilevel"/>
    <w:tmpl w:val="CC8C975A"/>
    <w:lvl w:ilvl="0" w:tplc="0414001B">
      <w:start w:val="1"/>
      <w:numFmt w:val="lowerRoman"/>
      <w:lvlText w:val="%1."/>
      <w:lvlJc w:val="righ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9" w15:restartNumberingAfterBreak="0">
    <w:nsid w:val="790F05C5"/>
    <w:multiLevelType w:val="hybridMultilevel"/>
    <w:tmpl w:val="FFD06BA8"/>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0" w15:restartNumberingAfterBreak="0">
    <w:nsid w:val="7AD17BDE"/>
    <w:multiLevelType w:val="hybridMultilevel"/>
    <w:tmpl w:val="A1F02278"/>
    <w:lvl w:ilvl="0" w:tplc="7AC2FC3A">
      <w:start w:val="1"/>
      <w:numFmt w:val="lowerRoman"/>
      <w:lvlText w:val="%1."/>
      <w:lvlJc w:val="righ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1" w15:restartNumberingAfterBreak="0">
    <w:nsid w:val="7AFC5F98"/>
    <w:multiLevelType w:val="multilevel"/>
    <w:tmpl w:val="4B520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B943AFF"/>
    <w:multiLevelType w:val="hybridMultilevel"/>
    <w:tmpl w:val="FB360ECE"/>
    <w:lvl w:ilvl="0" w:tplc="FFFFFFFF">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3" w15:restartNumberingAfterBreak="0">
    <w:nsid w:val="7C0B0C46"/>
    <w:multiLevelType w:val="hybridMultilevel"/>
    <w:tmpl w:val="1AE4E8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89982652">
    <w:abstractNumId w:val="8"/>
  </w:num>
  <w:num w:numId="2" w16cid:durableId="1255749805">
    <w:abstractNumId w:val="19"/>
  </w:num>
  <w:num w:numId="3" w16cid:durableId="1126696234">
    <w:abstractNumId w:val="37"/>
  </w:num>
  <w:num w:numId="4" w16cid:durableId="1443721549">
    <w:abstractNumId w:val="28"/>
  </w:num>
  <w:num w:numId="5" w16cid:durableId="215239984">
    <w:abstractNumId w:val="42"/>
  </w:num>
  <w:num w:numId="6" w16cid:durableId="1921912460">
    <w:abstractNumId w:val="20"/>
  </w:num>
  <w:num w:numId="7" w16cid:durableId="1243762175">
    <w:abstractNumId w:val="56"/>
  </w:num>
  <w:num w:numId="8" w16cid:durableId="1209074276">
    <w:abstractNumId w:val="24"/>
  </w:num>
  <w:num w:numId="9" w16cid:durableId="310521395">
    <w:abstractNumId w:val="1"/>
  </w:num>
  <w:num w:numId="10" w16cid:durableId="1837720723">
    <w:abstractNumId w:val="27"/>
  </w:num>
  <w:num w:numId="11" w16cid:durableId="1216820154">
    <w:abstractNumId w:val="44"/>
  </w:num>
  <w:num w:numId="12" w16cid:durableId="864487448">
    <w:abstractNumId w:val="40"/>
  </w:num>
  <w:num w:numId="13" w16cid:durableId="2139907335">
    <w:abstractNumId w:val="62"/>
  </w:num>
  <w:num w:numId="14" w16cid:durableId="931550298">
    <w:abstractNumId w:val="14"/>
  </w:num>
  <w:num w:numId="15" w16cid:durableId="202519940">
    <w:abstractNumId w:val="15"/>
  </w:num>
  <w:num w:numId="16" w16cid:durableId="684064865">
    <w:abstractNumId w:val="9"/>
  </w:num>
  <w:num w:numId="17" w16cid:durableId="12339229">
    <w:abstractNumId w:val="11"/>
  </w:num>
  <w:num w:numId="18" w16cid:durableId="271208160">
    <w:abstractNumId w:val="23"/>
  </w:num>
  <w:num w:numId="19" w16cid:durableId="743524305">
    <w:abstractNumId w:val="57"/>
  </w:num>
  <w:num w:numId="20" w16cid:durableId="1299069277">
    <w:abstractNumId w:val="16"/>
  </w:num>
  <w:num w:numId="21" w16cid:durableId="1379089320">
    <w:abstractNumId w:val="35"/>
  </w:num>
  <w:num w:numId="22" w16cid:durableId="718743980">
    <w:abstractNumId w:val="54"/>
  </w:num>
  <w:num w:numId="23" w16cid:durableId="1191990221">
    <w:abstractNumId w:val="52"/>
  </w:num>
  <w:num w:numId="24" w16cid:durableId="954292556">
    <w:abstractNumId w:val="53"/>
  </w:num>
  <w:num w:numId="25" w16cid:durableId="44179156">
    <w:abstractNumId w:val="22"/>
  </w:num>
  <w:num w:numId="26" w16cid:durableId="854685212">
    <w:abstractNumId w:val="38"/>
  </w:num>
  <w:num w:numId="27" w16cid:durableId="140001461">
    <w:abstractNumId w:val="50"/>
  </w:num>
  <w:num w:numId="28" w16cid:durableId="106585733">
    <w:abstractNumId w:val="12"/>
  </w:num>
  <w:num w:numId="29" w16cid:durableId="42752561">
    <w:abstractNumId w:val="21"/>
  </w:num>
  <w:num w:numId="30" w16cid:durableId="775952962">
    <w:abstractNumId w:val="0"/>
  </w:num>
  <w:num w:numId="31" w16cid:durableId="1444960773">
    <w:abstractNumId w:val="49"/>
  </w:num>
  <w:num w:numId="32" w16cid:durableId="2125146790">
    <w:abstractNumId w:val="63"/>
  </w:num>
  <w:num w:numId="33" w16cid:durableId="2115131063">
    <w:abstractNumId w:val="51"/>
  </w:num>
  <w:num w:numId="34" w16cid:durableId="1249385714">
    <w:abstractNumId w:val="30"/>
  </w:num>
  <w:num w:numId="35" w16cid:durableId="2083216167">
    <w:abstractNumId w:val="34"/>
  </w:num>
  <w:num w:numId="36" w16cid:durableId="2140877808">
    <w:abstractNumId w:val="33"/>
  </w:num>
  <w:num w:numId="37" w16cid:durableId="564679205">
    <w:abstractNumId w:val="7"/>
  </w:num>
  <w:num w:numId="38" w16cid:durableId="576869463">
    <w:abstractNumId w:val="18"/>
  </w:num>
  <w:num w:numId="39" w16cid:durableId="345795470">
    <w:abstractNumId w:val="58"/>
  </w:num>
  <w:num w:numId="40" w16cid:durableId="2065907027">
    <w:abstractNumId w:val="43"/>
  </w:num>
  <w:num w:numId="41" w16cid:durableId="1908832743">
    <w:abstractNumId w:val="61"/>
  </w:num>
  <w:num w:numId="42" w16cid:durableId="1465079132">
    <w:abstractNumId w:val="41"/>
  </w:num>
  <w:num w:numId="43" w16cid:durableId="280846529">
    <w:abstractNumId w:val="36"/>
  </w:num>
  <w:num w:numId="44" w16cid:durableId="1564365508">
    <w:abstractNumId w:val="13"/>
  </w:num>
  <w:num w:numId="45" w16cid:durableId="1764036695">
    <w:abstractNumId w:val="55"/>
  </w:num>
  <w:num w:numId="46" w16cid:durableId="363335710">
    <w:abstractNumId w:val="45"/>
  </w:num>
  <w:num w:numId="47" w16cid:durableId="1064449015">
    <w:abstractNumId w:val="26"/>
  </w:num>
  <w:num w:numId="48" w16cid:durableId="21788886">
    <w:abstractNumId w:val="31"/>
  </w:num>
  <w:num w:numId="49" w16cid:durableId="1923026916">
    <w:abstractNumId w:val="32"/>
  </w:num>
  <w:num w:numId="50" w16cid:durableId="1096438313">
    <w:abstractNumId w:val="59"/>
  </w:num>
  <w:num w:numId="51" w16cid:durableId="9307989">
    <w:abstractNumId w:val="29"/>
  </w:num>
  <w:num w:numId="52" w16cid:durableId="1678386626">
    <w:abstractNumId w:val="6"/>
  </w:num>
  <w:num w:numId="53" w16cid:durableId="287516730">
    <w:abstractNumId w:val="17"/>
  </w:num>
  <w:num w:numId="54" w16cid:durableId="1405488540">
    <w:abstractNumId w:val="5"/>
  </w:num>
  <w:num w:numId="55" w16cid:durableId="858546000">
    <w:abstractNumId w:val="2"/>
  </w:num>
  <w:num w:numId="56" w16cid:durableId="1722362341">
    <w:abstractNumId w:val="48"/>
  </w:num>
  <w:num w:numId="57" w16cid:durableId="597105998">
    <w:abstractNumId w:val="25"/>
  </w:num>
  <w:num w:numId="58" w16cid:durableId="302348683">
    <w:abstractNumId w:val="60"/>
  </w:num>
  <w:num w:numId="59" w16cid:durableId="1860854250">
    <w:abstractNumId w:val="4"/>
  </w:num>
  <w:num w:numId="60" w16cid:durableId="686177190">
    <w:abstractNumId w:val="47"/>
  </w:num>
  <w:num w:numId="61" w16cid:durableId="1118766381">
    <w:abstractNumId w:val="3"/>
  </w:num>
  <w:num w:numId="62" w16cid:durableId="1429043105">
    <w:abstractNumId w:val="39"/>
  </w:num>
  <w:num w:numId="63" w16cid:durableId="1664505126">
    <w:abstractNumId w:val="10"/>
  </w:num>
  <w:num w:numId="64" w16cid:durableId="55399899">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nb-NO" w:vendorID="64" w:dllVersion="6" w:nlCheck="1" w:checkStyle="0"/>
  <w:activeWritingStyle w:appName="MSWord" w:lang="en-US" w:vendorID="64" w:dllVersion="6" w:nlCheck="1" w:checkStyle="1"/>
  <w:activeWritingStyle w:appName="MSWord" w:lang="nb-NO"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AB0"/>
    <w:rsid w:val="00001360"/>
    <w:rsid w:val="00001AB0"/>
    <w:rsid w:val="00005372"/>
    <w:rsid w:val="000059F8"/>
    <w:rsid w:val="00010F7F"/>
    <w:rsid w:val="000120AE"/>
    <w:rsid w:val="00012821"/>
    <w:rsid w:val="00020DD7"/>
    <w:rsid w:val="0002181B"/>
    <w:rsid w:val="00025154"/>
    <w:rsid w:val="00026F80"/>
    <w:rsid w:val="00030E59"/>
    <w:rsid w:val="000318C6"/>
    <w:rsid w:val="00031B7E"/>
    <w:rsid w:val="00033831"/>
    <w:rsid w:val="00035FDE"/>
    <w:rsid w:val="00037441"/>
    <w:rsid w:val="00037EC8"/>
    <w:rsid w:val="0004193A"/>
    <w:rsid w:val="0004376A"/>
    <w:rsid w:val="00044267"/>
    <w:rsid w:val="00044ECB"/>
    <w:rsid w:val="000459EC"/>
    <w:rsid w:val="00045E56"/>
    <w:rsid w:val="00045FC5"/>
    <w:rsid w:val="000474D6"/>
    <w:rsid w:val="000516A6"/>
    <w:rsid w:val="00051C32"/>
    <w:rsid w:val="00054DDE"/>
    <w:rsid w:val="000550B3"/>
    <w:rsid w:val="0005531D"/>
    <w:rsid w:val="00056927"/>
    <w:rsid w:val="00057097"/>
    <w:rsid w:val="000605D2"/>
    <w:rsid w:val="000607A1"/>
    <w:rsid w:val="0006136C"/>
    <w:rsid w:val="000627B4"/>
    <w:rsid w:val="00064290"/>
    <w:rsid w:val="000661E7"/>
    <w:rsid w:val="00066FFD"/>
    <w:rsid w:val="00070446"/>
    <w:rsid w:val="00071630"/>
    <w:rsid w:val="00073277"/>
    <w:rsid w:val="00073D93"/>
    <w:rsid w:val="0007590C"/>
    <w:rsid w:val="000769DE"/>
    <w:rsid w:val="00077581"/>
    <w:rsid w:val="0008302E"/>
    <w:rsid w:val="00083814"/>
    <w:rsid w:val="00083871"/>
    <w:rsid w:val="00087264"/>
    <w:rsid w:val="00092295"/>
    <w:rsid w:val="00092795"/>
    <w:rsid w:val="000927F8"/>
    <w:rsid w:val="00092FD6"/>
    <w:rsid w:val="00093539"/>
    <w:rsid w:val="000939EC"/>
    <w:rsid w:val="00093E7E"/>
    <w:rsid w:val="0009669B"/>
    <w:rsid w:val="00096B14"/>
    <w:rsid w:val="000A00E7"/>
    <w:rsid w:val="000A05EB"/>
    <w:rsid w:val="000A2B1E"/>
    <w:rsid w:val="000A584E"/>
    <w:rsid w:val="000A5DD5"/>
    <w:rsid w:val="000A6F3D"/>
    <w:rsid w:val="000C03C3"/>
    <w:rsid w:val="000C0444"/>
    <w:rsid w:val="000C0FE9"/>
    <w:rsid w:val="000C199F"/>
    <w:rsid w:val="000C3778"/>
    <w:rsid w:val="000C3E02"/>
    <w:rsid w:val="000C41B3"/>
    <w:rsid w:val="000C5D77"/>
    <w:rsid w:val="000D6448"/>
    <w:rsid w:val="000D747D"/>
    <w:rsid w:val="000D7647"/>
    <w:rsid w:val="000D7754"/>
    <w:rsid w:val="000E31A2"/>
    <w:rsid w:val="000E31E6"/>
    <w:rsid w:val="000E381B"/>
    <w:rsid w:val="000E417A"/>
    <w:rsid w:val="000E4DE1"/>
    <w:rsid w:val="000E5D4D"/>
    <w:rsid w:val="000E6182"/>
    <w:rsid w:val="000E6DFA"/>
    <w:rsid w:val="000F0715"/>
    <w:rsid w:val="000F30FE"/>
    <w:rsid w:val="000F5BF7"/>
    <w:rsid w:val="0010105F"/>
    <w:rsid w:val="00101A15"/>
    <w:rsid w:val="00101BA7"/>
    <w:rsid w:val="00102B96"/>
    <w:rsid w:val="0010340F"/>
    <w:rsid w:val="00103600"/>
    <w:rsid w:val="001115DA"/>
    <w:rsid w:val="001128B4"/>
    <w:rsid w:val="00113476"/>
    <w:rsid w:val="00113DAC"/>
    <w:rsid w:val="00117187"/>
    <w:rsid w:val="00121357"/>
    <w:rsid w:val="001213EE"/>
    <w:rsid w:val="00121826"/>
    <w:rsid w:val="00121DAD"/>
    <w:rsid w:val="00122151"/>
    <w:rsid w:val="00126B8A"/>
    <w:rsid w:val="001279E4"/>
    <w:rsid w:val="00127E60"/>
    <w:rsid w:val="0013033F"/>
    <w:rsid w:val="001307B4"/>
    <w:rsid w:val="00132B3E"/>
    <w:rsid w:val="001337F6"/>
    <w:rsid w:val="00135709"/>
    <w:rsid w:val="00141CB6"/>
    <w:rsid w:val="00141F21"/>
    <w:rsid w:val="00144F4C"/>
    <w:rsid w:val="0014645D"/>
    <w:rsid w:val="001466C2"/>
    <w:rsid w:val="00146CD3"/>
    <w:rsid w:val="001527ED"/>
    <w:rsid w:val="00153C8C"/>
    <w:rsid w:val="00154A0E"/>
    <w:rsid w:val="00154A12"/>
    <w:rsid w:val="00155851"/>
    <w:rsid w:val="001566D2"/>
    <w:rsid w:val="001567B9"/>
    <w:rsid w:val="001567CA"/>
    <w:rsid w:val="001573AF"/>
    <w:rsid w:val="001601F4"/>
    <w:rsid w:val="00161751"/>
    <w:rsid w:val="00162F28"/>
    <w:rsid w:val="00164582"/>
    <w:rsid w:val="001645DF"/>
    <w:rsid w:val="00165483"/>
    <w:rsid w:val="00172B40"/>
    <w:rsid w:val="00172FBD"/>
    <w:rsid w:val="00174B5B"/>
    <w:rsid w:val="00174B9D"/>
    <w:rsid w:val="00175F20"/>
    <w:rsid w:val="001771D8"/>
    <w:rsid w:val="0018120D"/>
    <w:rsid w:val="00181C59"/>
    <w:rsid w:val="001828B9"/>
    <w:rsid w:val="001842F0"/>
    <w:rsid w:val="001843E6"/>
    <w:rsid w:val="001853E0"/>
    <w:rsid w:val="00185E7C"/>
    <w:rsid w:val="00186772"/>
    <w:rsid w:val="00190538"/>
    <w:rsid w:val="00191DE7"/>
    <w:rsid w:val="001929CB"/>
    <w:rsid w:val="00194DB6"/>
    <w:rsid w:val="00194E0E"/>
    <w:rsid w:val="001957E1"/>
    <w:rsid w:val="001966C7"/>
    <w:rsid w:val="00196961"/>
    <w:rsid w:val="00196BC2"/>
    <w:rsid w:val="00196DC6"/>
    <w:rsid w:val="00197975"/>
    <w:rsid w:val="00197FCB"/>
    <w:rsid w:val="001A3541"/>
    <w:rsid w:val="001A3EE5"/>
    <w:rsid w:val="001A41EB"/>
    <w:rsid w:val="001B1DF3"/>
    <w:rsid w:val="001B2B8D"/>
    <w:rsid w:val="001B5106"/>
    <w:rsid w:val="001B6600"/>
    <w:rsid w:val="001B7E82"/>
    <w:rsid w:val="001C04AD"/>
    <w:rsid w:val="001C1025"/>
    <w:rsid w:val="001C1E27"/>
    <w:rsid w:val="001C367A"/>
    <w:rsid w:val="001C4187"/>
    <w:rsid w:val="001C424C"/>
    <w:rsid w:val="001C5ED5"/>
    <w:rsid w:val="001C6A08"/>
    <w:rsid w:val="001D292F"/>
    <w:rsid w:val="001D43E1"/>
    <w:rsid w:val="001D5292"/>
    <w:rsid w:val="001D5AC9"/>
    <w:rsid w:val="001E1B8F"/>
    <w:rsid w:val="001E302B"/>
    <w:rsid w:val="001E514D"/>
    <w:rsid w:val="001E637B"/>
    <w:rsid w:val="001E6C5F"/>
    <w:rsid w:val="001E6E83"/>
    <w:rsid w:val="001E6F76"/>
    <w:rsid w:val="001F0207"/>
    <w:rsid w:val="001F11F2"/>
    <w:rsid w:val="001F1A91"/>
    <w:rsid w:val="001F2E4F"/>
    <w:rsid w:val="001F696E"/>
    <w:rsid w:val="001F69B2"/>
    <w:rsid w:val="001F7CDE"/>
    <w:rsid w:val="001F7E06"/>
    <w:rsid w:val="00200C1B"/>
    <w:rsid w:val="00201DD1"/>
    <w:rsid w:val="00204FEF"/>
    <w:rsid w:val="00205FF8"/>
    <w:rsid w:val="00207922"/>
    <w:rsid w:val="00210715"/>
    <w:rsid w:val="0021087C"/>
    <w:rsid w:val="0021120B"/>
    <w:rsid w:val="00211300"/>
    <w:rsid w:val="00212675"/>
    <w:rsid w:val="002141E4"/>
    <w:rsid w:val="00216CE3"/>
    <w:rsid w:val="00217AB9"/>
    <w:rsid w:val="0022072A"/>
    <w:rsid w:val="0022107A"/>
    <w:rsid w:val="00231661"/>
    <w:rsid w:val="002317CC"/>
    <w:rsid w:val="002344B1"/>
    <w:rsid w:val="00235252"/>
    <w:rsid w:val="00235BD5"/>
    <w:rsid w:val="00237107"/>
    <w:rsid w:val="00237647"/>
    <w:rsid w:val="00241144"/>
    <w:rsid w:val="0024154A"/>
    <w:rsid w:val="00242AF8"/>
    <w:rsid w:val="00242D22"/>
    <w:rsid w:val="0024343A"/>
    <w:rsid w:val="002463D0"/>
    <w:rsid w:val="00251921"/>
    <w:rsid w:val="00253578"/>
    <w:rsid w:val="00254871"/>
    <w:rsid w:val="00255573"/>
    <w:rsid w:val="002608F7"/>
    <w:rsid w:val="00260FFD"/>
    <w:rsid w:val="00262E4A"/>
    <w:rsid w:val="00262ED8"/>
    <w:rsid w:val="00263BBD"/>
    <w:rsid w:val="00266575"/>
    <w:rsid w:val="00266E28"/>
    <w:rsid w:val="0027044A"/>
    <w:rsid w:val="0027176B"/>
    <w:rsid w:val="00272DA9"/>
    <w:rsid w:val="00274688"/>
    <w:rsid w:val="00275088"/>
    <w:rsid w:val="002760A2"/>
    <w:rsid w:val="00283238"/>
    <w:rsid w:val="002843E0"/>
    <w:rsid w:val="00284D84"/>
    <w:rsid w:val="002862B0"/>
    <w:rsid w:val="00286720"/>
    <w:rsid w:val="00287D6D"/>
    <w:rsid w:val="00292220"/>
    <w:rsid w:val="00293189"/>
    <w:rsid w:val="002934A0"/>
    <w:rsid w:val="00293C99"/>
    <w:rsid w:val="0029489A"/>
    <w:rsid w:val="002A0DA5"/>
    <w:rsid w:val="002A16BF"/>
    <w:rsid w:val="002A1870"/>
    <w:rsid w:val="002A1910"/>
    <w:rsid w:val="002A2554"/>
    <w:rsid w:val="002A3120"/>
    <w:rsid w:val="002A55A0"/>
    <w:rsid w:val="002B0818"/>
    <w:rsid w:val="002B3818"/>
    <w:rsid w:val="002B4298"/>
    <w:rsid w:val="002B6B8F"/>
    <w:rsid w:val="002B712B"/>
    <w:rsid w:val="002B7F01"/>
    <w:rsid w:val="002C000E"/>
    <w:rsid w:val="002C19F3"/>
    <w:rsid w:val="002C3728"/>
    <w:rsid w:val="002C3B48"/>
    <w:rsid w:val="002C3D3A"/>
    <w:rsid w:val="002C4976"/>
    <w:rsid w:val="002D009F"/>
    <w:rsid w:val="002D171B"/>
    <w:rsid w:val="002D1A6C"/>
    <w:rsid w:val="002D4112"/>
    <w:rsid w:val="002D4780"/>
    <w:rsid w:val="002D6C61"/>
    <w:rsid w:val="002E1E27"/>
    <w:rsid w:val="002E5338"/>
    <w:rsid w:val="002E53E2"/>
    <w:rsid w:val="002E54A9"/>
    <w:rsid w:val="002E5C03"/>
    <w:rsid w:val="002E6866"/>
    <w:rsid w:val="002F0F2D"/>
    <w:rsid w:val="002F13F9"/>
    <w:rsid w:val="002F211B"/>
    <w:rsid w:val="002F2AE7"/>
    <w:rsid w:val="002F79BE"/>
    <w:rsid w:val="003065DC"/>
    <w:rsid w:val="00307597"/>
    <w:rsid w:val="00312871"/>
    <w:rsid w:val="00312D2B"/>
    <w:rsid w:val="003136B1"/>
    <w:rsid w:val="00313FDB"/>
    <w:rsid w:val="00315F0A"/>
    <w:rsid w:val="00321AFA"/>
    <w:rsid w:val="00321E76"/>
    <w:rsid w:val="003227BA"/>
    <w:rsid w:val="00322DA8"/>
    <w:rsid w:val="003245C8"/>
    <w:rsid w:val="0032556A"/>
    <w:rsid w:val="00325EA6"/>
    <w:rsid w:val="00325EAC"/>
    <w:rsid w:val="0032648D"/>
    <w:rsid w:val="003359D2"/>
    <w:rsid w:val="00335C94"/>
    <w:rsid w:val="00335D12"/>
    <w:rsid w:val="00336F27"/>
    <w:rsid w:val="00340035"/>
    <w:rsid w:val="003412E7"/>
    <w:rsid w:val="00343B9B"/>
    <w:rsid w:val="00344CBE"/>
    <w:rsid w:val="00345A2D"/>
    <w:rsid w:val="0034734D"/>
    <w:rsid w:val="00347BDE"/>
    <w:rsid w:val="003500CD"/>
    <w:rsid w:val="00350652"/>
    <w:rsid w:val="00352454"/>
    <w:rsid w:val="00353858"/>
    <w:rsid w:val="0035524E"/>
    <w:rsid w:val="00360126"/>
    <w:rsid w:val="003634D8"/>
    <w:rsid w:val="00363877"/>
    <w:rsid w:val="003654DB"/>
    <w:rsid w:val="00371409"/>
    <w:rsid w:val="003714EA"/>
    <w:rsid w:val="003724D2"/>
    <w:rsid w:val="00372AA6"/>
    <w:rsid w:val="00373C65"/>
    <w:rsid w:val="00376148"/>
    <w:rsid w:val="003765CB"/>
    <w:rsid w:val="003765D3"/>
    <w:rsid w:val="003768F3"/>
    <w:rsid w:val="0037793A"/>
    <w:rsid w:val="00380369"/>
    <w:rsid w:val="00381AC0"/>
    <w:rsid w:val="00381ED9"/>
    <w:rsid w:val="003850FC"/>
    <w:rsid w:val="00387F68"/>
    <w:rsid w:val="003901B0"/>
    <w:rsid w:val="00390AB2"/>
    <w:rsid w:val="003910F1"/>
    <w:rsid w:val="003919B9"/>
    <w:rsid w:val="003923F0"/>
    <w:rsid w:val="00392688"/>
    <w:rsid w:val="003935A7"/>
    <w:rsid w:val="003951A4"/>
    <w:rsid w:val="0039747B"/>
    <w:rsid w:val="00397C68"/>
    <w:rsid w:val="003A07E6"/>
    <w:rsid w:val="003A0D9E"/>
    <w:rsid w:val="003A3D54"/>
    <w:rsid w:val="003A613F"/>
    <w:rsid w:val="003A6426"/>
    <w:rsid w:val="003A69E4"/>
    <w:rsid w:val="003B010C"/>
    <w:rsid w:val="003B1B04"/>
    <w:rsid w:val="003B6709"/>
    <w:rsid w:val="003B6A0E"/>
    <w:rsid w:val="003C1DDA"/>
    <w:rsid w:val="003C336F"/>
    <w:rsid w:val="003C3ABE"/>
    <w:rsid w:val="003C7351"/>
    <w:rsid w:val="003D173A"/>
    <w:rsid w:val="003D1780"/>
    <w:rsid w:val="003D2E50"/>
    <w:rsid w:val="003D3DA6"/>
    <w:rsid w:val="003D4640"/>
    <w:rsid w:val="003D60F1"/>
    <w:rsid w:val="003D63AD"/>
    <w:rsid w:val="003D6B46"/>
    <w:rsid w:val="003D6C21"/>
    <w:rsid w:val="003E0417"/>
    <w:rsid w:val="003E09FD"/>
    <w:rsid w:val="003E3D92"/>
    <w:rsid w:val="003E43D3"/>
    <w:rsid w:val="003E4D36"/>
    <w:rsid w:val="003E4F50"/>
    <w:rsid w:val="003E5E59"/>
    <w:rsid w:val="003E6070"/>
    <w:rsid w:val="003E67CA"/>
    <w:rsid w:val="003E687B"/>
    <w:rsid w:val="003E76EC"/>
    <w:rsid w:val="003F0482"/>
    <w:rsid w:val="003F154C"/>
    <w:rsid w:val="003F16F2"/>
    <w:rsid w:val="003F4A6A"/>
    <w:rsid w:val="003F56DB"/>
    <w:rsid w:val="003F5D65"/>
    <w:rsid w:val="003F761B"/>
    <w:rsid w:val="00400D41"/>
    <w:rsid w:val="00404032"/>
    <w:rsid w:val="00405232"/>
    <w:rsid w:val="00406330"/>
    <w:rsid w:val="0040795D"/>
    <w:rsid w:val="00412147"/>
    <w:rsid w:val="00412A66"/>
    <w:rsid w:val="00416E35"/>
    <w:rsid w:val="00420FD7"/>
    <w:rsid w:val="00421F59"/>
    <w:rsid w:val="00422045"/>
    <w:rsid w:val="004231A7"/>
    <w:rsid w:val="00424859"/>
    <w:rsid w:val="00425819"/>
    <w:rsid w:val="004304A4"/>
    <w:rsid w:val="00430B04"/>
    <w:rsid w:val="004335A9"/>
    <w:rsid w:val="0043609D"/>
    <w:rsid w:val="00441155"/>
    <w:rsid w:val="004412AA"/>
    <w:rsid w:val="00442267"/>
    <w:rsid w:val="00442A41"/>
    <w:rsid w:val="004447E7"/>
    <w:rsid w:val="00445735"/>
    <w:rsid w:val="004473DE"/>
    <w:rsid w:val="00450A17"/>
    <w:rsid w:val="00454AD3"/>
    <w:rsid w:val="00455709"/>
    <w:rsid w:val="004575C4"/>
    <w:rsid w:val="00457D31"/>
    <w:rsid w:val="0046165E"/>
    <w:rsid w:val="00462781"/>
    <w:rsid w:val="00462A4A"/>
    <w:rsid w:val="0046341A"/>
    <w:rsid w:val="0046464B"/>
    <w:rsid w:val="004651B3"/>
    <w:rsid w:val="00465208"/>
    <w:rsid w:val="00466149"/>
    <w:rsid w:val="0046671F"/>
    <w:rsid w:val="00470DDE"/>
    <w:rsid w:val="004716AF"/>
    <w:rsid w:val="00472E20"/>
    <w:rsid w:val="0047332C"/>
    <w:rsid w:val="004763EC"/>
    <w:rsid w:val="0048174E"/>
    <w:rsid w:val="004830AA"/>
    <w:rsid w:val="004840CD"/>
    <w:rsid w:val="00486BFB"/>
    <w:rsid w:val="004878A9"/>
    <w:rsid w:val="00490635"/>
    <w:rsid w:val="004934B4"/>
    <w:rsid w:val="004936B4"/>
    <w:rsid w:val="0049623E"/>
    <w:rsid w:val="0049770D"/>
    <w:rsid w:val="004A39AD"/>
    <w:rsid w:val="004A732C"/>
    <w:rsid w:val="004A7905"/>
    <w:rsid w:val="004B2E27"/>
    <w:rsid w:val="004B363D"/>
    <w:rsid w:val="004B3890"/>
    <w:rsid w:val="004C17AA"/>
    <w:rsid w:val="004C5225"/>
    <w:rsid w:val="004C7358"/>
    <w:rsid w:val="004D08A1"/>
    <w:rsid w:val="004D0D67"/>
    <w:rsid w:val="004D5344"/>
    <w:rsid w:val="004D689B"/>
    <w:rsid w:val="004D750D"/>
    <w:rsid w:val="004E2CD3"/>
    <w:rsid w:val="004E38EA"/>
    <w:rsid w:val="004E4471"/>
    <w:rsid w:val="004E54A4"/>
    <w:rsid w:val="004F254A"/>
    <w:rsid w:val="00501D44"/>
    <w:rsid w:val="00502CE3"/>
    <w:rsid w:val="0050728A"/>
    <w:rsid w:val="0050775E"/>
    <w:rsid w:val="00516ECA"/>
    <w:rsid w:val="0051783F"/>
    <w:rsid w:val="005207E8"/>
    <w:rsid w:val="00521495"/>
    <w:rsid w:val="00521987"/>
    <w:rsid w:val="00522055"/>
    <w:rsid w:val="00525B50"/>
    <w:rsid w:val="00525E1A"/>
    <w:rsid w:val="0052705E"/>
    <w:rsid w:val="0052720E"/>
    <w:rsid w:val="005278C9"/>
    <w:rsid w:val="00530ABA"/>
    <w:rsid w:val="00531B6C"/>
    <w:rsid w:val="00534445"/>
    <w:rsid w:val="00534517"/>
    <w:rsid w:val="00535F63"/>
    <w:rsid w:val="005408C2"/>
    <w:rsid w:val="0054138D"/>
    <w:rsid w:val="00550633"/>
    <w:rsid w:val="005514AD"/>
    <w:rsid w:val="005517C6"/>
    <w:rsid w:val="00552A81"/>
    <w:rsid w:val="00553B1D"/>
    <w:rsid w:val="00553C82"/>
    <w:rsid w:val="005562D7"/>
    <w:rsid w:val="00556F33"/>
    <w:rsid w:val="005627BA"/>
    <w:rsid w:val="0056311E"/>
    <w:rsid w:val="005634B6"/>
    <w:rsid w:val="00563D84"/>
    <w:rsid w:val="005640C2"/>
    <w:rsid w:val="005649F5"/>
    <w:rsid w:val="00565A46"/>
    <w:rsid w:val="00566CCA"/>
    <w:rsid w:val="005718E3"/>
    <w:rsid w:val="005729DE"/>
    <w:rsid w:val="00573009"/>
    <w:rsid w:val="00575153"/>
    <w:rsid w:val="005779EE"/>
    <w:rsid w:val="00577D25"/>
    <w:rsid w:val="0058145F"/>
    <w:rsid w:val="00585F08"/>
    <w:rsid w:val="0058767A"/>
    <w:rsid w:val="005878EE"/>
    <w:rsid w:val="00592B01"/>
    <w:rsid w:val="00593246"/>
    <w:rsid w:val="00593E39"/>
    <w:rsid w:val="005972B0"/>
    <w:rsid w:val="005A09D3"/>
    <w:rsid w:val="005A1024"/>
    <w:rsid w:val="005A1F72"/>
    <w:rsid w:val="005A3688"/>
    <w:rsid w:val="005A4304"/>
    <w:rsid w:val="005A4BA7"/>
    <w:rsid w:val="005A4F09"/>
    <w:rsid w:val="005A655D"/>
    <w:rsid w:val="005A7DE1"/>
    <w:rsid w:val="005B026A"/>
    <w:rsid w:val="005B0B88"/>
    <w:rsid w:val="005B7806"/>
    <w:rsid w:val="005C0046"/>
    <w:rsid w:val="005C0F99"/>
    <w:rsid w:val="005C1BFF"/>
    <w:rsid w:val="005C4974"/>
    <w:rsid w:val="005C61CB"/>
    <w:rsid w:val="005C6D5F"/>
    <w:rsid w:val="005C7D7A"/>
    <w:rsid w:val="005D321E"/>
    <w:rsid w:val="005D5F0B"/>
    <w:rsid w:val="005D6043"/>
    <w:rsid w:val="005D69DE"/>
    <w:rsid w:val="005E3ACC"/>
    <w:rsid w:val="005E3F83"/>
    <w:rsid w:val="005E4241"/>
    <w:rsid w:val="005F03E9"/>
    <w:rsid w:val="005F0F15"/>
    <w:rsid w:val="005F16C5"/>
    <w:rsid w:val="005F184D"/>
    <w:rsid w:val="005F3EF2"/>
    <w:rsid w:val="005F4B71"/>
    <w:rsid w:val="005F5A28"/>
    <w:rsid w:val="005F69FD"/>
    <w:rsid w:val="005F73E7"/>
    <w:rsid w:val="005F7727"/>
    <w:rsid w:val="00601121"/>
    <w:rsid w:val="0060320F"/>
    <w:rsid w:val="00604D76"/>
    <w:rsid w:val="00606A8E"/>
    <w:rsid w:val="006102C6"/>
    <w:rsid w:val="006125A5"/>
    <w:rsid w:val="00612FF9"/>
    <w:rsid w:val="006142F2"/>
    <w:rsid w:val="00614374"/>
    <w:rsid w:val="00614656"/>
    <w:rsid w:val="00614AD3"/>
    <w:rsid w:val="0062096B"/>
    <w:rsid w:val="00622536"/>
    <w:rsid w:val="006248D3"/>
    <w:rsid w:val="00624D2E"/>
    <w:rsid w:val="0062584D"/>
    <w:rsid w:val="0062694C"/>
    <w:rsid w:val="006269BE"/>
    <w:rsid w:val="00631FBE"/>
    <w:rsid w:val="0063272F"/>
    <w:rsid w:val="00632ADE"/>
    <w:rsid w:val="00633D4B"/>
    <w:rsid w:val="0063412B"/>
    <w:rsid w:val="0063485A"/>
    <w:rsid w:val="006353EA"/>
    <w:rsid w:val="006415B5"/>
    <w:rsid w:val="00641624"/>
    <w:rsid w:val="00643EB4"/>
    <w:rsid w:val="00644A63"/>
    <w:rsid w:val="00645003"/>
    <w:rsid w:val="00645F7C"/>
    <w:rsid w:val="00646DF2"/>
    <w:rsid w:val="00647149"/>
    <w:rsid w:val="006519E2"/>
    <w:rsid w:val="006541FC"/>
    <w:rsid w:val="006551D2"/>
    <w:rsid w:val="006569F8"/>
    <w:rsid w:val="00660A32"/>
    <w:rsid w:val="0066364D"/>
    <w:rsid w:val="00664646"/>
    <w:rsid w:val="00664898"/>
    <w:rsid w:val="0066524E"/>
    <w:rsid w:val="0066532D"/>
    <w:rsid w:val="00666434"/>
    <w:rsid w:val="00673A8F"/>
    <w:rsid w:val="00675476"/>
    <w:rsid w:val="00675D90"/>
    <w:rsid w:val="00684336"/>
    <w:rsid w:val="006861B9"/>
    <w:rsid w:val="00690D6C"/>
    <w:rsid w:val="00691865"/>
    <w:rsid w:val="00694EDF"/>
    <w:rsid w:val="006951EE"/>
    <w:rsid w:val="00695534"/>
    <w:rsid w:val="0069701E"/>
    <w:rsid w:val="006977C1"/>
    <w:rsid w:val="0069783E"/>
    <w:rsid w:val="006A3ACA"/>
    <w:rsid w:val="006A6A51"/>
    <w:rsid w:val="006B1485"/>
    <w:rsid w:val="006B3F8F"/>
    <w:rsid w:val="006B47F1"/>
    <w:rsid w:val="006B4AF8"/>
    <w:rsid w:val="006B6AAF"/>
    <w:rsid w:val="006C340B"/>
    <w:rsid w:val="006C4A83"/>
    <w:rsid w:val="006C6170"/>
    <w:rsid w:val="006C6662"/>
    <w:rsid w:val="006D3DED"/>
    <w:rsid w:val="006D4179"/>
    <w:rsid w:val="006D6BF7"/>
    <w:rsid w:val="006E3719"/>
    <w:rsid w:val="006E47F4"/>
    <w:rsid w:val="006E4BEC"/>
    <w:rsid w:val="006E65BC"/>
    <w:rsid w:val="006E6E0E"/>
    <w:rsid w:val="006F0B52"/>
    <w:rsid w:val="006F0C16"/>
    <w:rsid w:val="006F376C"/>
    <w:rsid w:val="006F392E"/>
    <w:rsid w:val="006F3B4C"/>
    <w:rsid w:val="006F5D6E"/>
    <w:rsid w:val="006F5DC6"/>
    <w:rsid w:val="00700651"/>
    <w:rsid w:val="00703E39"/>
    <w:rsid w:val="00706C2A"/>
    <w:rsid w:val="007072BD"/>
    <w:rsid w:val="007077AF"/>
    <w:rsid w:val="007077E3"/>
    <w:rsid w:val="0071041F"/>
    <w:rsid w:val="00711063"/>
    <w:rsid w:val="0071124D"/>
    <w:rsid w:val="0071261B"/>
    <w:rsid w:val="00712A26"/>
    <w:rsid w:val="007143F4"/>
    <w:rsid w:val="007147C3"/>
    <w:rsid w:val="00714921"/>
    <w:rsid w:val="00714CC4"/>
    <w:rsid w:val="00715CB7"/>
    <w:rsid w:val="00715DBF"/>
    <w:rsid w:val="00716423"/>
    <w:rsid w:val="007172B7"/>
    <w:rsid w:val="00720425"/>
    <w:rsid w:val="007218AB"/>
    <w:rsid w:val="0072766D"/>
    <w:rsid w:val="0073006A"/>
    <w:rsid w:val="007309CF"/>
    <w:rsid w:val="00731C0E"/>
    <w:rsid w:val="00732D02"/>
    <w:rsid w:val="00734CBD"/>
    <w:rsid w:val="0073529F"/>
    <w:rsid w:val="00735E73"/>
    <w:rsid w:val="00736A13"/>
    <w:rsid w:val="00740E83"/>
    <w:rsid w:val="007416D7"/>
    <w:rsid w:val="007431A6"/>
    <w:rsid w:val="007431CE"/>
    <w:rsid w:val="007459A9"/>
    <w:rsid w:val="00747F11"/>
    <w:rsid w:val="007500C6"/>
    <w:rsid w:val="007534D1"/>
    <w:rsid w:val="00755756"/>
    <w:rsid w:val="00757CA4"/>
    <w:rsid w:val="00761440"/>
    <w:rsid w:val="0076144B"/>
    <w:rsid w:val="00762DA4"/>
    <w:rsid w:val="00762E33"/>
    <w:rsid w:val="00764A60"/>
    <w:rsid w:val="00765813"/>
    <w:rsid w:val="007671B7"/>
    <w:rsid w:val="007812E6"/>
    <w:rsid w:val="00781D72"/>
    <w:rsid w:val="00783F48"/>
    <w:rsid w:val="00785732"/>
    <w:rsid w:val="007863E7"/>
    <w:rsid w:val="00787C57"/>
    <w:rsid w:val="00794533"/>
    <w:rsid w:val="00796DCF"/>
    <w:rsid w:val="00797BB3"/>
    <w:rsid w:val="00797F65"/>
    <w:rsid w:val="007A1B96"/>
    <w:rsid w:val="007A3DA3"/>
    <w:rsid w:val="007A43AB"/>
    <w:rsid w:val="007A4533"/>
    <w:rsid w:val="007A7C67"/>
    <w:rsid w:val="007A7F2F"/>
    <w:rsid w:val="007B14F4"/>
    <w:rsid w:val="007B1C47"/>
    <w:rsid w:val="007B212A"/>
    <w:rsid w:val="007B49E2"/>
    <w:rsid w:val="007B4D03"/>
    <w:rsid w:val="007B5A86"/>
    <w:rsid w:val="007B5D8C"/>
    <w:rsid w:val="007C1211"/>
    <w:rsid w:val="007C1A7D"/>
    <w:rsid w:val="007C3C30"/>
    <w:rsid w:val="007C6B65"/>
    <w:rsid w:val="007D077F"/>
    <w:rsid w:val="007D294B"/>
    <w:rsid w:val="007D357F"/>
    <w:rsid w:val="007D368E"/>
    <w:rsid w:val="007D55AF"/>
    <w:rsid w:val="007D5999"/>
    <w:rsid w:val="007D7546"/>
    <w:rsid w:val="007E1499"/>
    <w:rsid w:val="007E68C8"/>
    <w:rsid w:val="007F1E00"/>
    <w:rsid w:val="007F544C"/>
    <w:rsid w:val="007F594D"/>
    <w:rsid w:val="007F6323"/>
    <w:rsid w:val="007F7FF9"/>
    <w:rsid w:val="00803CD9"/>
    <w:rsid w:val="00804552"/>
    <w:rsid w:val="00804617"/>
    <w:rsid w:val="00807196"/>
    <w:rsid w:val="00807FA0"/>
    <w:rsid w:val="00807FEE"/>
    <w:rsid w:val="00810DB2"/>
    <w:rsid w:val="008138DE"/>
    <w:rsid w:val="00817E10"/>
    <w:rsid w:val="00821450"/>
    <w:rsid w:val="008230E9"/>
    <w:rsid w:val="00824B43"/>
    <w:rsid w:val="00824FA4"/>
    <w:rsid w:val="00827836"/>
    <w:rsid w:val="00827B29"/>
    <w:rsid w:val="00827F58"/>
    <w:rsid w:val="00831B16"/>
    <w:rsid w:val="00833940"/>
    <w:rsid w:val="0083621F"/>
    <w:rsid w:val="00837892"/>
    <w:rsid w:val="00841662"/>
    <w:rsid w:val="00841942"/>
    <w:rsid w:val="00841EDC"/>
    <w:rsid w:val="0084229C"/>
    <w:rsid w:val="00842789"/>
    <w:rsid w:val="0084781D"/>
    <w:rsid w:val="00847E63"/>
    <w:rsid w:val="00850666"/>
    <w:rsid w:val="00850E80"/>
    <w:rsid w:val="00850F7E"/>
    <w:rsid w:val="00851FBB"/>
    <w:rsid w:val="008543BF"/>
    <w:rsid w:val="00855157"/>
    <w:rsid w:val="00856877"/>
    <w:rsid w:val="008572ED"/>
    <w:rsid w:val="008577F3"/>
    <w:rsid w:val="008579F8"/>
    <w:rsid w:val="008626FC"/>
    <w:rsid w:val="00862DBD"/>
    <w:rsid w:val="00866721"/>
    <w:rsid w:val="00867F2B"/>
    <w:rsid w:val="0087113A"/>
    <w:rsid w:val="00871C10"/>
    <w:rsid w:val="00872564"/>
    <w:rsid w:val="00872ED4"/>
    <w:rsid w:val="008749DC"/>
    <w:rsid w:val="008755F9"/>
    <w:rsid w:val="00875926"/>
    <w:rsid w:val="008766F8"/>
    <w:rsid w:val="00877870"/>
    <w:rsid w:val="008807C8"/>
    <w:rsid w:val="00880C31"/>
    <w:rsid w:val="00884CB0"/>
    <w:rsid w:val="0088754A"/>
    <w:rsid w:val="00892ABB"/>
    <w:rsid w:val="0089443C"/>
    <w:rsid w:val="00895C38"/>
    <w:rsid w:val="00896C13"/>
    <w:rsid w:val="008970A3"/>
    <w:rsid w:val="008A000C"/>
    <w:rsid w:val="008A3E62"/>
    <w:rsid w:val="008A6463"/>
    <w:rsid w:val="008B0B12"/>
    <w:rsid w:val="008B13C6"/>
    <w:rsid w:val="008B1855"/>
    <w:rsid w:val="008B47EA"/>
    <w:rsid w:val="008B6116"/>
    <w:rsid w:val="008B6A85"/>
    <w:rsid w:val="008B717E"/>
    <w:rsid w:val="008C2244"/>
    <w:rsid w:val="008C24F0"/>
    <w:rsid w:val="008C329D"/>
    <w:rsid w:val="008C3CDD"/>
    <w:rsid w:val="008C4A7C"/>
    <w:rsid w:val="008C594A"/>
    <w:rsid w:val="008C5F84"/>
    <w:rsid w:val="008C7FDB"/>
    <w:rsid w:val="008D148A"/>
    <w:rsid w:val="008D216A"/>
    <w:rsid w:val="008D22B4"/>
    <w:rsid w:val="008D707F"/>
    <w:rsid w:val="008D7B4D"/>
    <w:rsid w:val="008E0872"/>
    <w:rsid w:val="008E13AE"/>
    <w:rsid w:val="008E1973"/>
    <w:rsid w:val="008E3FFC"/>
    <w:rsid w:val="008E4E31"/>
    <w:rsid w:val="008E7B12"/>
    <w:rsid w:val="008F03AD"/>
    <w:rsid w:val="008F2B3F"/>
    <w:rsid w:val="008F318F"/>
    <w:rsid w:val="008F4B03"/>
    <w:rsid w:val="008F6A0A"/>
    <w:rsid w:val="008F6F4F"/>
    <w:rsid w:val="0090271A"/>
    <w:rsid w:val="00903460"/>
    <w:rsid w:val="00903870"/>
    <w:rsid w:val="0090497A"/>
    <w:rsid w:val="00905DFB"/>
    <w:rsid w:val="00910E7D"/>
    <w:rsid w:val="00911AA7"/>
    <w:rsid w:val="009126A5"/>
    <w:rsid w:val="00914251"/>
    <w:rsid w:val="0091456E"/>
    <w:rsid w:val="009148EA"/>
    <w:rsid w:val="00916563"/>
    <w:rsid w:val="009179CA"/>
    <w:rsid w:val="0092004B"/>
    <w:rsid w:val="00921CA9"/>
    <w:rsid w:val="00923C4C"/>
    <w:rsid w:val="0092545D"/>
    <w:rsid w:val="00925A75"/>
    <w:rsid w:val="00932D7E"/>
    <w:rsid w:val="0093319C"/>
    <w:rsid w:val="00934109"/>
    <w:rsid w:val="00934FFE"/>
    <w:rsid w:val="00935540"/>
    <w:rsid w:val="00936389"/>
    <w:rsid w:val="009374F0"/>
    <w:rsid w:val="00937C3A"/>
    <w:rsid w:val="0094064D"/>
    <w:rsid w:val="009420DA"/>
    <w:rsid w:val="009427C3"/>
    <w:rsid w:val="0094432E"/>
    <w:rsid w:val="0094560C"/>
    <w:rsid w:val="00946DA9"/>
    <w:rsid w:val="00947D0B"/>
    <w:rsid w:val="00950125"/>
    <w:rsid w:val="009512F6"/>
    <w:rsid w:val="009524FC"/>
    <w:rsid w:val="00956644"/>
    <w:rsid w:val="0096056A"/>
    <w:rsid w:val="0096259C"/>
    <w:rsid w:val="00964649"/>
    <w:rsid w:val="00964AED"/>
    <w:rsid w:val="00965459"/>
    <w:rsid w:val="00965D87"/>
    <w:rsid w:val="00967B58"/>
    <w:rsid w:val="00967DAA"/>
    <w:rsid w:val="00971029"/>
    <w:rsid w:val="0097134F"/>
    <w:rsid w:val="00972439"/>
    <w:rsid w:val="00972C9A"/>
    <w:rsid w:val="00973558"/>
    <w:rsid w:val="009764FC"/>
    <w:rsid w:val="00976D68"/>
    <w:rsid w:val="009811C9"/>
    <w:rsid w:val="00985509"/>
    <w:rsid w:val="009907D9"/>
    <w:rsid w:val="00990F74"/>
    <w:rsid w:val="00991819"/>
    <w:rsid w:val="00992506"/>
    <w:rsid w:val="00992752"/>
    <w:rsid w:val="00993950"/>
    <w:rsid w:val="009959BF"/>
    <w:rsid w:val="00996A44"/>
    <w:rsid w:val="009970ED"/>
    <w:rsid w:val="009A1580"/>
    <w:rsid w:val="009A3A85"/>
    <w:rsid w:val="009A40F1"/>
    <w:rsid w:val="009A4D7E"/>
    <w:rsid w:val="009A6DEB"/>
    <w:rsid w:val="009A7220"/>
    <w:rsid w:val="009B2147"/>
    <w:rsid w:val="009B3482"/>
    <w:rsid w:val="009B3CB1"/>
    <w:rsid w:val="009B56BE"/>
    <w:rsid w:val="009B741F"/>
    <w:rsid w:val="009B74FC"/>
    <w:rsid w:val="009B7BC3"/>
    <w:rsid w:val="009C0823"/>
    <w:rsid w:val="009C32E3"/>
    <w:rsid w:val="009C3637"/>
    <w:rsid w:val="009C48AC"/>
    <w:rsid w:val="009D22D2"/>
    <w:rsid w:val="009D2882"/>
    <w:rsid w:val="009D3EAD"/>
    <w:rsid w:val="009D4269"/>
    <w:rsid w:val="009D5F92"/>
    <w:rsid w:val="009D7A53"/>
    <w:rsid w:val="009E4157"/>
    <w:rsid w:val="009E780A"/>
    <w:rsid w:val="009F0433"/>
    <w:rsid w:val="009F0AC5"/>
    <w:rsid w:val="009F0D3F"/>
    <w:rsid w:val="009F14BF"/>
    <w:rsid w:val="009F23FA"/>
    <w:rsid w:val="009F4834"/>
    <w:rsid w:val="009F5288"/>
    <w:rsid w:val="009F71F5"/>
    <w:rsid w:val="00A006F2"/>
    <w:rsid w:val="00A00A45"/>
    <w:rsid w:val="00A02DE9"/>
    <w:rsid w:val="00A03E55"/>
    <w:rsid w:val="00A05C9F"/>
    <w:rsid w:val="00A05D51"/>
    <w:rsid w:val="00A060B3"/>
    <w:rsid w:val="00A077BC"/>
    <w:rsid w:val="00A113E7"/>
    <w:rsid w:val="00A13D0D"/>
    <w:rsid w:val="00A166B9"/>
    <w:rsid w:val="00A17139"/>
    <w:rsid w:val="00A17351"/>
    <w:rsid w:val="00A20A56"/>
    <w:rsid w:val="00A21AE5"/>
    <w:rsid w:val="00A21E3A"/>
    <w:rsid w:val="00A237BF"/>
    <w:rsid w:val="00A23B04"/>
    <w:rsid w:val="00A23F38"/>
    <w:rsid w:val="00A24524"/>
    <w:rsid w:val="00A24C14"/>
    <w:rsid w:val="00A252B1"/>
    <w:rsid w:val="00A25C1F"/>
    <w:rsid w:val="00A30123"/>
    <w:rsid w:val="00A32809"/>
    <w:rsid w:val="00A33596"/>
    <w:rsid w:val="00A35165"/>
    <w:rsid w:val="00A36EC4"/>
    <w:rsid w:val="00A401F7"/>
    <w:rsid w:val="00A41DE8"/>
    <w:rsid w:val="00A4367F"/>
    <w:rsid w:val="00A43CB6"/>
    <w:rsid w:val="00A43CB9"/>
    <w:rsid w:val="00A44D8A"/>
    <w:rsid w:val="00A45968"/>
    <w:rsid w:val="00A462FB"/>
    <w:rsid w:val="00A46586"/>
    <w:rsid w:val="00A514CB"/>
    <w:rsid w:val="00A522DC"/>
    <w:rsid w:val="00A535EC"/>
    <w:rsid w:val="00A54566"/>
    <w:rsid w:val="00A57A5C"/>
    <w:rsid w:val="00A605F1"/>
    <w:rsid w:val="00A64CD8"/>
    <w:rsid w:val="00A64EF5"/>
    <w:rsid w:val="00A6582C"/>
    <w:rsid w:val="00A663F4"/>
    <w:rsid w:val="00A67941"/>
    <w:rsid w:val="00A7085A"/>
    <w:rsid w:val="00A70962"/>
    <w:rsid w:val="00A711FA"/>
    <w:rsid w:val="00A71723"/>
    <w:rsid w:val="00A717B3"/>
    <w:rsid w:val="00A77E79"/>
    <w:rsid w:val="00A80582"/>
    <w:rsid w:val="00A80DDE"/>
    <w:rsid w:val="00A8246A"/>
    <w:rsid w:val="00A82BFB"/>
    <w:rsid w:val="00A85FE2"/>
    <w:rsid w:val="00A869F7"/>
    <w:rsid w:val="00A86EC4"/>
    <w:rsid w:val="00A911A6"/>
    <w:rsid w:val="00A9151A"/>
    <w:rsid w:val="00A92640"/>
    <w:rsid w:val="00A933D7"/>
    <w:rsid w:val="00A9484B"/>
    <w:rsid w:val="00A94FA3"/>
    <w:rsid w:val="00AA01CA"/>
    <w:rsid w:val="00AA065C"/>
    <w:rsid w:val="00AA0A3B"/>
    <w:rsid w:val="00AA1053"/>
    <w:rsid w:val="00AA2361"/>
    <w:rsid w:val="00AA3378"/>
    <w:rsid w:val="00AA42ED"/>
    <w:rsid w:val="00AA43AB"/>
    <w:rsid w:val="00AA4A4A"/>
    <w:rsid w:val="00AB279F"/>
    <w:rsid w:val="00AB4B4A"/>
    <w:rsid w:val="00AB4EBA"/>
    <w:rsid w:val="00AB6134"/>
    <w:rsid w:val="00AB7E59"/>
    <w:rsid w:val="00AC22C7"/>
    <w:rsid w:val="00AC350C"/>
    <w:rsid w:val="00AC3731"/>
    <w:rsid w:val="00AC3F56"/>
    <w:rsid w:val="00AC43B9"/>
    <w:rsid w:val="00AC4723"/>
    <w:rsid w:val="00AC62DC"/>
    <w:rsid w:val="00AD03EC"/>
    <w:rsid w:val="00AD03F4"/>
    <w:rsid w:val="00AD158A"/>
    <w:rsid w:val="00AD15AB"/>
    <w:rsid w:val="00AD3F5E"/>
    <w:rsid w:val="00AD4777"/>
    <w:rsid w:val="00AD5048"/>
    <w:rsid w:val="00AD5EC3"/>
    <w:rsid w:val="00AE0C03"/>
    <w:rsid w:val="00AE0D51"/>
    <w:rsid w:val="00AE0EA3"/>
    <w:rsid w:val="00AE14DD"/>
    <w:rsid w:val="00AE4E60"/>
    <w:rsid w:val="00AE4ECD"/>
    <w:rsid w:val="00AE56E1"/>
    <w:rsid w:val="00AE5C9B"/>
    <w:rsid w:val="00AE6B0E"/>
    <w:rsid w:val="00AE7826"/>
    <w:rsid w:val="00AF1506"/>
    <w:rsid w:val="00AF176C"/>
    <w:rsid w:val="00AF4C60"/>
    <w:rsid w:val="00AF5860"/>
    <w:rsid w:val="00AF76FF"/>
    <w:rsid w:val="00B0062B"/>
    <w:rsid w:val="00B00875"/>
    <w:rsid w:val="00B0090F"/>
    <w:rsid w:val="00B036DC"/>
    <w:rsid w:val="00B05D55"/>
    <w:rsid w:val="00B06F19"/>
    <w:rsid w:val="00B07A8E"/>
    <w:rsid w:val="00B10F30"/>
    <w:rsid w:val="00B176EA"/>
    <w:rsid w:val="00B20688"/>
    <w:rsid w:val="00B20A65"/>
    <w:rsid w:val="00B20FE0"/>
    <w:rsid w:val="00B212EE"/>
    <w:rsid w:val="00B21538"/>
    <w:rsid w:val="00B23C49"/>
    <w:rsid w:val="00B23E31"/>
    <w:rsid w:val="00B254E6"/>
    <w:rsid w:val="00B27533"/>
    <w:rsid w:val="00B3108E"/>
    <w:rsid w:val="00B31861"/>
    <w:rsid w:val="00B32079"/>
    <w:rsid w:val="00B33EBA"/>
    <w:rsid w:val="00B34F22"/>
    <w:rsid w:val="00B35EB3"/>
    <w:rsid w:val="00B37B56"/>
    <w:rsid w:val="00B44291"/>
    <w:rsid w:val="00B445EC"/>
    <w:rsid w:val="00B44E75"/>
    <w:rsid w:val="00B474C2"/>
    <w:rsid w:val="00B50ECB"/>
    <w:rsid w:val="00B50F97"/>
    <w:rsid w:val="00B523B9"/>
    <w:rsid w:val="00B54FC3"/>
    <w:rsid w:val="00B55B1D"/>
    <w:rsid w:val="00B55CCB"/>
    <w:rsid w:val="00B57684"/>
    <w:rsid w:val="00B577D1"/>
    <w:rsid w:val="00B579BB"/>
    <w:rsid w:val="00B619AD"/>
    <w:rsid w:val="00B6215E"/>
    <w:rsid w:val="00B65E72"/>
    <w:rsid w:val="00B66305"/>
    <w:rsid w:val="00B73394"/>
    <w:rsid w:val="00B7637B"/>
    <w:rsid w:val="00B76ADC"/>
    <w:rsid w:val="00B774CB"/>
    <w:rsid w:val="00B77A0F"/>
    <w:rsid w:val="00B80211"/>
    <w:rsid w:val="00B8024D"/>
    <w:rsid w:val="00B8057C"/>
    <w:rsid w:val="00B80B90"/>
    <w:rsid w:val="00B813BE"/>
    <w:rsid w:val="00B82783"/>
    <w:rsid w:val="00B84047"/>
    <w:rsid w:val="00B84A9E"/>
    <w:rsid w:val="00B8752C"/>
    <w:rsid w:val="00B87B3A"/>
    <w:rsid w:val="00B93C5D"/>
    <w:rsid w:val="00B95052"/>
    <w:rsid w:val="00B953C4"/>
    <w:rsid w:val="00B97E8A"/>
    <w:rsid w:val="00B97EEC"/>
    <w:rsid w:val="00BA0D2D"/>
    <w:rsid w:val="00BA1E57"/>
    <w:rsid w:val="00BA3791"/>
    <w:rsid w:val="00BA3F97"/>
    <w:rsid w:val="00BA458D"/>
    <w:rsid w:val="00BA4F5E"/>
    <w:rsid w:val="00BA5259"/>
    <w:rsid w:val="00BB0B36"/>
    <w:rsid w:val="00BB5F22"/>
    <w:rsid w:val="00BB6240"/>
    <w:rsid w:val="00BB7345"/>
    <w:rsid w:val="00BC0CEA"/>
    <w:rsid w:val="00BC54DA"/>
    <w:rsid w:val="00BC5B33"/>
    <w:rsid w:val="00BC6033"/>
    <w:rsid w:val="00BD0F9D"/>
    <w:rsid w:val="00BD31C2"/>
    <w:rsid w:val="00BD448A"/>
    <w:rsid w:val="00BD539D"/>
    <w:rsid w:val="00BE0557"/>
    <w:rsid w:val="00BE05F7"/>
    <w:rsid w:val="00BE266E"/>
    <w:rsid w:val="00BE3E28"/>
    <w:rsid w:val="00BE4242"/>
    <w:rsid w:val="00BE4B56"/>
    <w:rsid w:val="00BE545D"/>
    <w:rsid w:val="00BF1C28"/>
    <w:rsid w:val="00BF3931"/>
    <w:rsid w:val="00BF4A4B"/>
    <w:rsid w:val="00BF512A"/>
    <w:rsid w:val="00C01151"/>
    <w:rsid w:val="00C0344D"/>
    <w:rsid w:val="00C0501A"/>
    <w:rsid w:val="00C07B52"/>
    <w:rsid w:val="00C07FEB"/>
    <w:rsid w:val="00C10018"/>
    <w:rsid w:val="00C1010B"/>
    <w:rsid w:val="00C119D8"/>
    <w:rsid w:val="00C16B29"/>
    <w:rsid w:val="00C2041B"/>
    <w:rsid w:val="00C208C8"/>
    <w:rsid w:val="00C2337A"/>
    <w:rsid w:val="00C24F2F"/>
    <w:rsid w:val="00C25934"/>
    <w:rsid w:val="00C27743"/>
    <w:rsid w:val="00C30366"/>
    <w:rsid w:val="00C31E82"/>
    <w:rsid w:val="00C322D2"/>
    <w:rsid w:val="00C3298A"/>
    <w:rsid w:val="00C33CA3"/>
    <w:rsid w:val="00C34687"/>
    <w:rsid w:val="00C37758"/>
    <w:rsid w:val="00C37A29"/>
    <w:rsid w:val="00C432DC"/>
    <w:rsid w:val="00C43974"/>
    <w:rsid w:val="00C46840"/>
    <w:rsid w:val="00C50656"/>
    <w:rsid w:val="00C5361E"/>
    <w:rsid w:val="00C55ACF"/>
    <w:rsid w:val="00C55FD8"/>
    <w:rsid w:val="00C57230"/>
    <w:rsid w:val="00C60DF4"/>
    <w:rsid w:val="00C610AA"/>
    <w:rsid w:val="00C615FD"/>
    <w:rsid w:val="00C62085"/>
    <w:rsid w:val="00C628B8"/>
    <w:rsid w:val="00C62FAF"/>
    <w:rsid w:val="00C63B24"/>
    <w:rsid w:val="00C646DD"/>
    <w:rsid w:val="00C657BF"/>
    <w:rsid w:val="00C65E90"/>
    <w:rsid w:val="00C667E4"/>
    <w:rsid w:val="00C70077"/>
    <w:rsid w:val="00C714E6"/>
    <w:rsid w:val="00C72AF1"/>
    <w:rsid w:val="00C73EDB"/>
    <w:rsid w:val="00C74239"/>
    <w:rsid w:val="00C75687"/>
    <w:rsid w:val="00C75894"/>
    <w:rsid w:val="00C773E4"/>
    <w:rsid w:val="00C77BF2"/>
    <w:rsid w:val="00C80035"/>
    <w:rsid w:val="00C8091E"/>
    <w:rsid w:val="00C81342"/>
    <w:rsid w:val="00C855AB"/>
    <w:rsid w:val="00C85E60"/>
    <w:rsid w:val="00C85FD4"/>
    <w:rsid w:val="00C87744"/>
    <w:rsid w:val="00C87870"/>
    <w:rsid w:val="00C91652"/>
    <w:rsid w:val="00C918B6"/>
    <w:rsid w:val="00C93F52"/>
    <w:rsid w:val="00C94285"/>
    <w:rsid w:val="00C9507A"/>
    <w:rsid w:val="00C95402"/>
    <w:rsid w:val="00C95FCD"/>
    <w:rsid w:val="00C96C76"/>
    <w:rsid w:val="00C96F98"/>
    <w:rsid w:val="00CA19AE"/>
    <w:rsid w:val="00CA2218"/>
    <w:rsid w:val="00CA2AF8"/>
    <w:rsid w:val="00CA3BFF"/>
    <w:rsid w:val="00CA3F6A"/>
    <w:rsid w:val="00CA60AE"/>
    <w:rsid w:val="00CB5004"/>
    <w:rsid w:val="00CB550B"/>
    <w:rsid w:val="00CB596B"/>
    <w:rsid w:val="00CC00F0"/>
    <w:rsid w:val="00CC034A"/>
    <w:rsid w:val="00CC3092"/>
    <w:rsid w:val="00CC34F6"/>
    <w:rsid w:val="00CC73C4"/>
    <w:rsid w:val="00CC7464"/>
    <w:rsid w:val="00CD2013"/>
    <w:rsid w:val="00CD28AC"/>
    <w:rsid w:val="00CD2BB3"/>
    <w:rsid w:val="00CD346B"/>
    <w:rsid w:val="00CD4337"/>
    <w:rsid w:val="00CD536E"/>
    <w:rsid w:val="00CD7E9C"/>
    <w:rsid w:val="00CE0832"/>
    <w:rsid w:val="00CE083D"/>
    <w:rsid w:val="00CE3F32"/>
    <w:rsid w:val="00CE466A"/>
    <w:rsid w:val="00CE58C2"/>
    <w:rsid w:val="00CE6350"/>
    <w:rsid w:val="00CE6C21"/>
    <w:rsid w:val="00CE7606"/>
    <w:rsid w:val="00CF125A"/>
    <w:rsid w:val="00CF3B86"/>
    <w:rsid w:val="00CF3EB8"/>
    <w:rsid w:val="00CF4813"/>
    <w:rsid w:val="00CF48E6"/>
    <w:rsid w:val="00CF503C"/>
    <w:rsid w:val="00CF671D"/>
    <w:rsid w:val="00D02FF0"/>
    <w:rsid w:val="00D04DFA"/>
    <w:rsid w:val="00D07016"/>
    <w:rsid w:val="00D07A76"/>
    <w:rsid w:val="00D10F4A"/>
    <w:rsid w:val="00D11BCE"/>
    <w:rsid w:val="00D1225D"/>
    <w:rsid w:val="00D1258D"/>
    <w:rsid w:val="00D13CA5"/>
    <w:rsid w:val="00D13DDF"/>
    <w:rsid w:val="00D21492"/>
    <w:rsid w:val="00D21BC2"/>
    <w:rsid w:val="00D227F4"/>
    <w:rsid w:val="00D23154"/>
    <w:rsid w:val="00D25314"/>
    <w:rsid w:val="00D268E5"/>
    <w:rsid w:val="00D300F8"/>
    <w:rsid w:val="00D30F64"/>
    <w:rsid w:val="00D320F6"/>
    <w:rsid w:val="00D327BD"/>
    <w:rsid w:val="00D35B3F"/>
    <w:rsid w:val="00D37219"/>
    <w:rsid w:val="00D42ADA"/>
    <w:rsid w:val="00D44551"/>
    <w:rsid w:val="00D45839"/>
    <w:rsid w:val="00D46B3D"/>
    <w:rsid w:val="00D46D41"/>
    <w:rsid w:val="00D50836"/>
    <w:rsid w:val="00D528BC"/>
    <w:rsid w:val="00D54A7E"/>
    <w:rsid w:val="00D60545"/>
    <w:rsid w:val="00D609BE"/>
    <w:rsid w:val="00D61032"/>
    <w:rsid w:val="00D6265E"/>
    <w:rsid w:val="00D63FC5"/>
    <w:rsid w:val="00D64707"/>
    <w:rsid w:val="00D67299"/>
    <w:rsid w:val="00D72DE6"/>
    <w:rsid w:val="00D73D4D"/>
    <w:rsid w:val="00D76B8A"/>
    <w:rsid w:val="00D774E6"/>
    <w:rsid w:val="00D779A9"/>
    <w:rsid w:val="00D77A08"/>
    <w:rsid w:val="00D8287E"/>
    <w:rsid w:val="00D840CB"/>
    <w:rsid w:val="00D84881"/>
    <w:rsid w:val="00D85163"/>
    <w:rsid w:val="00D86023"/>
    <w:rsid w:val="00D86099"/>
    <w:rsid w:val="00D9272D"/>
    <w:rsid w:val="00D927D2"/>
    <w:rsid w:val="00D937DA"/>
    <w:rsid w:val="00D93AA7"/>
    <w:rsid w:val="00D9412A"/>
    <w:rsid w:val="00D94996"/>
    <w:rsid w:val="00D95D46"/>
    <w:rsid w:val="00D9621E"/>
    <w:rsid w:val="00DA1A84"/>
    <w:rsid w:val="00DA48E2"/>
    <w:rsid w:val="00DA5D24"/>
    <w:rsid w:val="00DA7133"/>
    <w:rsid w:val="00DB0AA2"/>
    <w:rsid w:val="00DB1005"/>
    <w:rsid w:val="00DB5C56"/>
    <w:rsid w:val="00DB7366"/>
    <w:rsid w:val="00DB75D5"/>
    <w:rsid w:val="00DC1C35"/>
    <w:rsid w:val="00DC1FE0"/>
    <w:rsid w:val="00DC2286"/>
    <w:rsid w:val="00DC256A"/>
    <w:rsid w:val="00DC2EF1"/>
    <w:rsid w:val="00DC5D0E"/>
    <w:rsid w:val="00DC60C5"/>
    <w:rsid w:val="00DD35CA"/>
    <w:rsid w:val="00DD39A8"/>
    <w:rsid w:val="00DD491F"/>
    <w:rsid w:val="00DD50BE"/>
    <w:rsid w:val="00DD7997"/>
    <w:rsid w:val="00DE011B"/>
    <w:rsid w:val="00DE0D55"/>
    <w:rsid w:val="00DE3175"/>
    <w:rsid w:val="00DE3FF5"/>
    <w:rsid w:val="00DE428E"/>
    <w:rsid w:val="00DE4B6B"/>
    <w:rsid w:val="00DE4B73"/>
    <w:rsid w:val="00DE5046"/>
    <w:rsid w:val="00DE57E0"/>
    <w:rsid w:val="00DE63E9"/>
    <w:rsid w:val="00DE6A13"/>
    <w:rsid w:val="00DE6B69"/>
    <w:rsid w:val="00DE7EB1"/>
    <w:rsid w:val="00DF0352"/>
    <w:rsid w:val="00DF1FC5"/>
    <w:rsid w:val="00DF2028"/>
    <w:rsid w:val="00DF262D"/>
    <w:rsid w:val="00DF5FE8"/>
    <w:rsid w:val="00DF604C"/>
    <w:rsid w:val="00DF6531"/>
    <w:rsid w:val="00E004AD"/>
    <w:rsid w:val="00E01538"/>
    <w:rsid w:val="00E04AA2"/>
    <w:rsid w:val="00E04E28"/>
    <w:rsid w:val="00E06EC2"/>
    <w:rsid w:val="00E107CB"/>
    <w:rsid w:val="00E12E70"/>
    <w:rsid w:val="00E13116"/>
    <w:rsid w:val="00E164FD"/>
    <w:rsid w:val="00E1652F"/>
    <w:rsid w:val="00E17E48"/>
    <w:rsid w:val="00E2051F"/>
    <w:rsid w:val="00E21100"/>
    <w:rsid w:val="00E214B7"/>
    <w:rsid w:val="00E226AD"/>
    <w:rsid w:val="00E2423F"/>
    <w:rsid w:val="00E24A63"/>
    <w:rsid w:val="00E33986"/>
    <w:rsid w:val="00E35BC1"/>
    <w:rsid w:val="00E37213"/>
    <w:rsid w:val="00E40080"/>
    <w:rsid w:val="00E41678"/>
    <w:rsid w:val="00E42422"/>
    <w:rsid w:val="00E43074"/>
    <w:rsid w:val="00E4444B"/>
    <w:rsid w:val="00E44E66"/>
    <w:rsid w:val="00E470B9"/>
    <w:rsid w:val="00E4771A"/>
    <w:rsid w:val="00E47A41"/>
    <w:rsid w:val="00E52B6D"/>
    <w:rsid w:val="00E56059"/>
    <w:rsid w:val="00E56E4F"/>
    <w:rsid w:val="00E60F05"/>
    <w:rsid w:val="00E6102C"/>
    <w:rsid w:val="00E62061"/>
    <w:rsid w:val="00E6406F"/>
    <w:rsid w:val="00E65F78"/>
    <w:rsid w:val="00E70502"/>
    <w:rsid w:val="00E72B9E"/>
    <w:rsid w:val="00E73B0F"/>
    <w:rsid w:val="00E73C99"/>
    <w:rsid w:val="00E76E1C"/>
    <w:rsid w:val="00E81570"/>
    <w:rsid w:val="00E84527"/>
    <w:rsid w:val="00E87474"/>
    <w:rsid w:val="00E90978"/>
    <w:rsid w:val="00E93595"/>
    <w:rsid w:val="00E94860"/>
    <w:rsid w:val="00E95782"/>
    <w:rsid w:val="00E95CD4"/>
    <w:rsid w:val="00E96387"/>
    <w:rsid w:val="00E97847"/>
    <w:rsid w:val="00EA07DF"/>
    <w:rsid w:val="00EA10B4"/>
    <w:rsid w:val="00EA12CF"/>
    <w:rsid w:val="00EA4422"/>
    <w:rsid w:val="00EA607C"/>
    <w:rsid w:val="00EB11E6"/>
    <w:rsid w:val="00EB40C3"/>
    <w:rsid w:val="00EB596D"/>
    <w:rsid w:val="00EC2347"/>
    <w:rsid w:val="00EC5EF1"/>
    <w:rsid w:val="00EC6790"/>
    <w:rsid w:val="00EC690C"/>
    <w:rsid w:val="00ED0C3F"/>
    <w:rsid w:val="00ED12B7"/>
    <w:rsid w:val="00ED52D0"/>
    <w:rsid w:val="00ED60FD"/>
    <w:rsid w:val="00ED79D0"/>
    <w:rsid w:val="00EE0C3E"/>
    <w:rsid w:val="00EE0EBD"/>
    <w:rsid w:val="00EE17EC"/>
    <w:rsid w:val="00EE5308"/>
    <w:rsid w:val="00EE626C"/>
    <w:rsid w:val="00EF0BCC"/>
    <w:rsid w:val="00EF1ED1"/>
    <w:rsid w:val="00EF3D90"/>
    <w:rsid w:val="00EF5BCA"/>
    <w:rsid w:val="00F00552"/>
    <w:rsid w:val="00F016E6"/>
    <w:rsid w:val="00F028AE"/>
    <w:rsid w:val="00F046F4"/>
    <w:rsid w:val="00F058EB"/>
    <w:rsid w:val="00F05CB6"/>
    <w:rsid w:val="00F063AE"/>
    <w:rsid w:val="00F072DE"/>
    <w:rsid w:val="00F078BC"/>
    <w:rsid w:val="00F07B87"/>
    <w:rsid w:val="00F1147A"/>
    <w:rsid w:val="00F131A5"/>
    <w:rsid w:val="00F13353"/>
    <w:rsid w:val="00F14307"/>
    <w:rsid w:val="00F171F0"/>
    <w:rsid w:val="00F20080"/>
    <w:rsid w:val="00F21C07"/>
    <w:rsid w:val="00F24719"/>
    <w:rsid w:val="00F251DF"/>
    <w:rsid w:val="00F252E8"/>
    <w:rsid w:val="00F254DC"/>
    <w:rsid w:val="00F26F59"/>
    <w:rsid w:val="00F27880"/>
    <w:rsid w:val="00F31B2D"/>
    <w:rsid w:val="00F31E61"/>
    <w:rsid w:val="00F36252"/>
    <w:rsid w:val="00F368E2"/>
    <w:rsid w:val="00F37043"/>
    <w:rsid w:val="00F3754B"/>
    <w:rsid w:val="00F40303"/>
    <w:rsid w:val="00F408E4"/>
    <w:rsid w:val="00F40CCB"/>
    <w:rsid w:val="00F4112C"/>
    <w:rsid w:val="00F411B5"/>
    <w:rsid w:val="00F4169C"/>
    <w:rsid w:val="00F418A7"/>
    <w:rsid w:val="00F41D28"/>
    <w:rsid w:val="00F42591"/>
    <w:rsid w:val="00F42CD5"/>
    <w:rsid w:val="00F431A7"/>
    <w:rsid w:val="00F4364A"/>
    <w:rsid w:val="00F4417B"/>
    <w:rsid w:val="00F46676"/>
    <w:rsid w:val="00F46AF6"/>
    <w:rsid w:val="00F5018A"/>
    <w:rsid w:val="00F52CE9"/>
    <w:rsid w:val="00F53892"/>
    <w:rsid w:val="00F54641"/>
    <w:rsid w:val="00F54EE2"/>
    <w:rsid w:val="00F55F5E"/>
    <w:rsid w:val="00F56225"/>
    <w:rsid w:val="00F57158"/>
    <w:rsid w:val="00F579E9"/>
    <w:rsid w:val="00F61445"/>
    <w:rsid w:val="00F65ABC"/>
    <w:rsid w:val="00F65D22"/>
    <w:rsid w:val="00F671C9"/>
    <w:rsid w:val="00F71406"/>
    <w:rsid w:val="00F766F8"/>
    <w:rsid w:val="00F7670D"/>
    <w:rsid w:val="00F80813"/>
    <w:rsid w:val="00F80F1E"/>
    <w:rsid w:val="00F8222D"/>
    <w:rsid w:val="00F836AD"/>
    <w:rsid w:val="00F83BA1"/>
    <w:rsid w:val="00F83DBC"/>
    <w:rsid w:val="00F84E14"/>
    <w:rsid w:val="00F8548C"/>
    <w:rsid w:val="00F867A7"/>
    <w:rsid w:val="00F872BF"/>
    <w:rsid w:val="00F90061"/>
    <w:rsid w:val="00F90417"/>
    <w:rsid w:val="00F93149"/>
    <w:rsid w:val="00F93C46"/>
    <w:rsid w:val="00F9535A"/>
    <w:rsid w:val="00F953DC"/>
    <w:rsid w:val="00F95D03"/>
    <w:rsid w:val="00F967EE"/>
    <w:rsid w:val="00F97083"/>
    <w:rsid w:val="00F9739E"/>
    <w:rsid w:val="00FA50A0"/>
    <w:rsid w:val="00FB4E99"/>
    <w:rsid w:val="00FC2819"/>
    <w:rsid w:val="00FC33C0"/>
    <w:rsid w:val="00FC7F93"/>
    <w:rsid w:val="00FD06D6"/>
    <w:rsid w:val="00FD09CF"/>
    <w:rsid w:val="00FD0A20"/>
    <w:rsid w:val="00FD1535"/>
    <w:rsid w:val="00FD1586"/>
    <w:rsid w:val="00FD1886"/>
    <w:rsid w:val="00FD3BD2"/>
    <w:rsid w:val="00FD7ACE"/>
    <w:rsid w:val="00FD7F7E"/>
    <w:rsid w:val="00FE2275"/>
    <w:rsid w:val="00FE2424"/>
    <w:rsid w:val="00FE3957"/>
    <w:rsid w:val="00FE59A4"/>
    <w:rsid w:val="00FE59AA"/>
    <w:rsid w:val="00FE71A8"/>
    <w:rsid w:val="00FF02C0"/>
    <w:rsid w:val="00FF5072"/>
    <w:rsid w:val="00FF6A12"/>
    <w:rsid w:val="019176F7"/>
    <w:rsid w:val="01CAE45A"/>
    <w:rsid w:val="0203EC79"/>
    <w:rsid w:val="0204EC70"/>
    <w:rsid w:val="044104F2"/>
    <w:rsid w:val="0441F4C1"/>
    <w:rsid w:val="04CAFD68"/>
    <w:rsid w:val="04D33331"/>
    <w:rsid w:val="04FE8F88"/>
    <w:rsid w:val="057E57CE"/>
    <w:rsid w:val="061167AF"/>
    <w:rsid w:val="0642EF63"/>
    <w:rsid w:val="06786D47"/>
    <w:rsid w:val="067B32DC"/>
    <w:rsid w:val="071F3525"/>
    <w:rsid w:val="0769BE99"/>
    <w:rsid w:val="0836304A"/>
    <w:rsid w:val="084C920B"/>
    <w:rsid w:val="085875A6"/>
    <w:rsid w:val="08A7D555"/>
    <w:rsid w:val="0908009B"/>
    <w:rsid w:val="09147615"/>
    <w:rsid w:val="09334711"/>
    <w:rsid w:val="09AD8572"/>
    <w:rsid w:val="09C90395"/>
    <w:rsid w:val="0ACD6F86"/>
    <w:rsid w:val="0B64D3F6"/>
    <w:rsid w:val="0C508DCC"/>
    <w:rsid w:val="0C6BD038"/>
    <w:rsid w:val="0D3F31E3"/>
    <w:rsid w:val="0D91643C"/>
    <w:rsid w:val="0DD6CD74"/>
    <w:rsid w:val="0E5A64EA"/>
    <w:rsid w:val="0E73BA41"/>
    <w:rsid w:val="0E86AF22"/>
    <w:rsid w:val="0F5F3B36"/>
    <w:rsid w:val="101C30FF"/>
    <w:rsid w:val="108D66F3"/>
    <w:rsid w:val="10D68883"/>
    <w:rsid w:val="1119792E"/>
    <w:rsid w:val="113D7C0C"/>
    <w:rsid w:val="11B16A90"/>
    <w:rsid w:val="11DD1290"/>
    <w:rsid w:val="12B0C8EE"/>
    <w:rsid w:val="13018E54"/>
    <w:rsid w:val="1370A9D5"/>
    <w:rsid w:val="137CD885"/>
    <w:rsid w:val="13C507B5"/>
    <w:rsid w:val="13E77D63"/>
    <w:rsid w:val="140D65EE"/>
    <w:rsid w:val="145B9668"/>
    <w:rsid w:val="156655AE"/>
    <w:rsid w:val="1606425D"/>
    <w:rsid w:val="161159A8"/>
    <w:rsid w:val="16E25627"/>
    <w:rsid w:val="17CB4960"/>
    <w:rsid w:val="17E07B9A"/>
    <w:rsid w:val="181775AB"/>
    <w:rsid w:val="1891B38E"/>
    <w:rsid w:val="189DF670"/>
    <w:rsid w:val="19CBE11B"/>
    <w:rsid w:val="1A56BEE7"/>
    <w:rsid w:val="1AA0CC69"/>
    <w:rsid w:val="1AABD875"/>
    <w:rsid w:val="1B426AD6"/>
    <w:rsid w:val="1B6EE7E8"/>
    <w:rsid w:val="1BE0F983"/>
    <w:rsid w:val="1C3C9CCA"/>
    <w:rsid w:val="1C84F850"/>
    <w:rsid w:val="1CE6523B"/>
    <w:rsid w:val="1D898D1F"/>
    <w:rsid w:val="1D8E5FA9"/>
    <w:rsid w:val="1E7EB78A"/>
    <w:rsid w:val="1F96302E"/>
    <w:rsid w:val="1FA2B069"/>
    <w:rsid w:val="1FF2788D"/>
    <w:rsid w:val="201A87EB"/>
    <w:rsid w:val="20341F87"/>
    <w:rsid w:val="203AA3CB"/>
    <w:rsid w:val="208A59EC"/>
    <w:rsid w:val="20CDEDF1"/>
    <w:rsid w:val="20EA2934"/>
    <w:rsid w:val="20ED2900"/>
    <w:rsid w:val="21390D19"/>
    <w:rsid w:val="21BCB9F2"/>
    <w:rsid w:val="21CFEFE8"/>
    <w:rsid w:val="2269BE52"/>
    <w:rsid w:val="228E4665"/>
    <w:rsid w:val="22EC1425"/>
    <w:rsid w:val="22FB8FE2"/>
    <w:rsid w:val="242AFD99"/>
    <w:rsid w:val="24B5C615"/>
    <w:rsid w:val="252EBEBF"/>
    <w:rsid w:val="260C404A"/>
    <w:rsid w:val="2670A112"/>
    <w:rsid w:val="26A3610B"/>
    <w:rsid w:val="26CC68EE"/>
    <w:rsid w:val="277A947B"/>
    <w:rsid w:val="27A2E477"/>
    <w:rsid w:val="27EB0A58"/>
    <w:rsid w:val="27FBC9EE"/>
    <w:rsid w:val="283F316C"/>
    <w:rsid w:val="28A5315B"/>
    <w:rsid w:val="293D1274"/>
    <w:rsid w:val="2A287CBF"/>
    <w:rsid w:val="2A74D037"/>
    <w:rsid w:val="2ABEDDB9"/>
    <w:rsid w:val="2AC63596"/>
    <w:rsid w:val="2B0D214B"/>
    <w:rsid w:val="2B7A68FB"/>
    <w:rsid w:val="2BB7244F"/>
    <w:rsid w:val="2DE1CC4C"/>
    <w:rsid w:val="2E44B2DC"/>
    <w:rsid w:val="2E9AD7F0"/>
    <w:rsid w:val="2EA130B0"/>
    <w:rsid w:val="2ED5A105"/>
    <w:rsid w:val="2F2AAF6E"/>
    <w:rsid w:val="2FAB4468"/>
    <w:rsid w:val="302472F0"/>
    <w:rsid w:val="3083C58F"/>
    <w:rsid w:val="30CBD8EF"/>
    <w:rsid w:val="310BDB65"/>
    <w:rsid w:val="31612A6F"/>
    <w:rsid w:val="31B0C1A5"/>
    <w:rsid w:val="3262EA06"/>
    <w:rsid w:val="32C9EF9E"/>
    <w:rsid w:val="3309903C"/>
    <w:rsid w:val="33AF7CCC"/>
    <w:rsid w:val="33BC6092"/>
    <w:rsid w:val="33E08FD5"/>
    <w:rsid w:val="3407432A"/>
    <w:rsid w:val="343FD1ED"/>
    <w:rsid w:val="344AE6B2"/>
    <w:rsid w:val="34658D2E"/>
    <w:rsid w:val="346EA3D9"/>
    <w:rsid w:val="348D4DBB"/>
    <w:rsid w:val="34FA3DF6"/>
    <w:rsid w:val="352D63C7"/>
    <w:rsid w:val="358145EC"/>
    <w:rsid w:val="35A3BE0F"/>
    <w:rsid w:val="35DEB76E"/>
    <w:rsid w:val="35E6B713"/>
    <w:rsid w:val="361B957C"/>
    <w:rsid w:val="36280F13"/>
    <w:rsid w:val="362C6BFF"/>
    <w:rsid w:val="36B25B9F"/>
    <w:rsid w:val="372DE945"/>
    <w:rsid w:val="376F8635"/>
    <w:rsid w:val="37AA209A"/>
    <w:rsid w:val="380B7827"/>
    <w:rsid w:val="3895F607"/>
    <w:rsid w:val="38AF1E64"/>
    <w:rsid w:val="38ED6DCD"/>
    <w:rsid w:val="39123B23"/>
    <w:rsid w:val="395B23C4"/>
    <w:rsid w:val="3970463E"/>
    <w:rsid w:val="39E9A76C"/>
    <w:rsid w:val="3A2CF415"/>
    <w:rsid w:val="3A46F931"/>
    <w:rsid w:val="3A5B8FC6"/>
    <w:rsid w:val="3AF6F425"/>
    <w:rsid w:val="3B0EAFBA"/>
    <w:rsid w:val="3B225F9E"/>
    <w:rsid w:val="3C10225B"/>
    <w:rsid w:val="3C4780E5"/>
    <w:rsid w:val="3C709F13"/>
    <w:rsid w:val="3C92C486"/>
    <w:rsid w:val="3CC5C0ED"/>
    <w:rsid w:val="3CDEE94A"/>
    <w:rsid w:val="3CFD8F3F"/>
    <w:rsid w:val="3E0360EF"/>
    <w:rsid w:val="3E8F8132"/>
    <w:rsid w:val="3E9D2F59"/>
    <w:rsid w:val="3FA83FD5"/>
    <w:rsid w:val="40F94560"/>
    <w:rsid w:val="434E2ACE"/>
    <w:rsid w:val="442BBA76"/>
    <w:rsid w:val="44A02640"/>
    <w:rsid w:val="44AA1F05"/>
    <w:rsid w:val="44D286F8"/>
    <w:rsid w:val="45D7FBAB"/>
    <w:rsid w:val="4656B6CC"/>
    <w:rsid w:val="465FF082"/>
    <w:rsid w:val="466CA333"/>
    <w:rsid w:val="46F24EC0"/>
    <w:rsid w:val="47103780"/>
    <w:rsid w:val="4718898A"/>
    <w:rsid w:val="47319985"/>
    <w:rsid w:val="47890024"/>
    <w:rsid w:val="48219BF1"/>
    <w:rsid w:val="483BCB05"/>
    <w:rsid w:val="48A8243D"/>
    <w:rsid w:val="4999B348"/>
    <w:rsid w:val="499BE730"/>
    <w:rsid w:val="49DFE200"/>
    <w:rsid w:val="4A207839"/>
    <w:rsid w:val="4A39D689"/>
    <w:rsid w:val="4A4BE224"/>
    <w:rsid w:val="4AD49B03"/>
    <w:rsid w:val="4AF2E002"/>
    <w:rsid w:val="4B34DE52"/>
    <w:rsid w:val="4B8FB7E6"/>
    <w:rsid w:val="4C0E1B69"/>
    <w:rsid w:val="4D4FF0C6"/>
    <w:rsid w:val="4D54A598"/>
    <w:rsid w:val="4D7B9560"/>
    <w:rsid w:val="4D814EFE"/>
    <w:rsid w:val="4DA9EBCA"/>
    <w:rsid w:val="4DB4A745"/>
    <w:rsid w:val="4E2A80C4"/>
    <w:rsid w:val="4E83EEE8"/>
    <w:rsid w:val="4EB77A8D"/>
    <w:rsid w:val="50763E1C"/>
    <w:rsid w:val="51AF55DA"/>
    <w:rsid w:val="51FF4579"/>
    <w:rsid w:val="52C22369"/>
    <w:rsid w:val="533539D4"/>
    <w:rsid w:val="534BB52F"/>
    <w:rsid w:val="542D816A"/>
    <w:rsid w:val="54AEC040"/>
    <w:rsid w:val="54B7E1D8"/>
    <w:rsid w:val="54CAB909"/>
    <w:rsid w:val="55796202"/>
    <w:rsid w:val="55B36A18"/>
    <w:rsid w:val="5657195E"/>
    <w:rsid w:val="5660324B"/>
    <w:rsid w:val="57425159"/>
    <w:rsid w:val="575D6193"/>
    <w:rsid w:val="57EF829A"/>
    <w:rsid w:val="59047B78"/>
    <w:rsid w:val="590E57C7"/>
    <w:rsid w:val="59125A51"/>
    <w:rsid w:val="597D2C91"/>
    <w:rsid w:val="597EDD81"/>
    <w:rsid w:val="59FFEF8D"/>
    <w:rsid w:val="5A8B206C"/>
    <w:rsid w:val="5A950255"/>
    <w:rsid w:val="5AB3A84A"/>
    <w:rsid w:val="5AE2558F"/>
    <w:rsid w:val="5AF08A15"/>
    <w:rsid w:val="5BE8A386"/>
    <w:rsid w:val="5BFDD64F"/>
    <w:rsid w:val="5C132C90"/>
    <w:rsid w:val="5C75FE27"/>
    <w:rsid w:val="5E25D976"/>
    <w:rsid w:val="5F357711"/>
    <w:rsid w:val="5F660485"/>
    <w:rsid w:val="5FF5E26C"/>
    <w:rsid w:val="60540C77"/>
    <w:rsid w:val="60D14772"/>
    <w:rsid w:val="60E5F4AB"/>
    <w:rsid w:val="61875963"/>
    <w:rsid w:val="61C27B19"/>
    <w:rsid w:val="622D035E"/>
    <w:rsid w:val="62A176CF"/>
    <w:rsid w:val="63C0C731"/>
    <w:rsid w:val="645FBE9B"/>
    <w:rsid w:val="64A3ED40"/>
    <w:rsid w:val="65218074"/>
    <w:rsid w:val="658A80A8"/>
    <w:rsid w:val="65B1322C"/>
    <w:rsid w:val="66D7401D"/>
    <w:rsid w:val="66DC1D1D"/>
    <w:rsid w:val="672AB5A0"/>
    <w:rsid w:val="67D82C8D"/>
    <w:rsid w:val="67E7916C"/>
    <w:rsid w:val="68057682"/>
    <w:rsid w:val="680A1410"/>
    <w:rsid w:val="68E040FA"/>
    <w:rsid w:val="690F55BE"/>
    <w:rsid w:val="698F5C5A"/>
    <w:rsid w:val="69DD5CD1"/>
    <w:rsid w:val="6A17147D"/>
    <w:rsid w:val="6ABDDEEE"/>
    <w:rsid w:val="6B8CF581"/>
    <w:rsid w:val="6D5E8A67"/>
    <w:rsid w:val="6D69DE6F"/>
    <w:rsid w:val="6DE2C6E1"/>
    <w:rsid w:val="6DEAB467"/>
    <w:rsid w:val="6E194315"/>
    <w:rsid w:val="6EA814B9"/>
    <w:rsid w:val="6FE311B6"/>
    <w:rsid w:val="703ACC06"/>
    <w:rsid w:val="71983B8B"/>
    <w:rsid w:val="71ACEC0A"/>
    <w:rsid w:val="72AC285B"/>
    <w:rsid w:val="7313C4C1"/>
    <w:rsid w:val="7323D26F"/>
    <w:rsid w:val="732AFA35"/>
    <w:rsid w:val="73385292"/>
    <w:rsid w:val="73C90593"/>
    <w:rsid w:val="74DF6EA7"/>
    <w:rsid w:val="7666DD4F"/>
    <w:rsid w:val="768296F3"/>
    <w:rsid w:val="76DEC1EA"/>
    <w:rsid w:val="7750F5DC"/>
    <w:rsid w:val="77FED1EF"/>
    <w:rsid w:val="7932E4A6"/>
    <w:rsid w:val="7998331C"/>
    <w:rsid w:val="79D60F02"/>
    <w:rsid w:val="7A6ADAB9"/>
    <w:rsid w:val="7AA31D58"/>
    <w:rsid w:val="7ABD7313"/>
    <w:rsid w:val="7AE34EF9"/>
    <w:rsid w:val="7B6050BD"/>
    <w:rsid w:val="7C0FF08E"/>
    <w:rsid w:val="7C83ADC5"/>
    <w:rsid w:val="7D03A8E9"/>
    <w:rsid w:val="7DD655F9"/>
    <w:rsid w:val="7E0655C9"/>
    <w:rsid w:val="7E234DDF"/>
    <w:rsid w:val="7E4A947D"/>
    <w:rsid w:val="7EA81BF1"/>
    <w:rsid w:val="7F3B686A"/>
    <w:rsid w:val="7FF8D83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CBFF3"/>
  <w15:docId w15:val="{B112E017-AD5E-4E17-9E43-3A64D0954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450"/>
    <w:pPr>
      <w:autoSpaceDE w:val="0"/>
      <w:autoSpaceDN w:val="0"/>
      <w:adjustRightInd w:val="0"/>
      <w:spacing w:after="120"/>
    </w:pPr>
    <w:rPr>
      <w:rFonts w:asciiTheme="minorHAnsi" w:hAnsiTheme="minorHAnsi"/>
      <w:color w:val="000000"/>
      <w:sz w:val="22"/>
      <w:szCs w:val="22"/>
      <w:lang w:bidi="ne-NP"/>
    </w:rPr>
  </w:style>
  <w:style w:type="paragraph" w:styleId="Overskrift1">
    <w:name w:val="heading 1"/>
    <w:basedOn w:val="Normal"/>
    <w:next w:val="Normal"/>
    <w:qFormat/>
    <w:rsid w:val="00EC5EF1"/>
    <w:pPr>
      <w:keepNext/>
      <w:numPr>
        <w:numId w:val="8"/>
      </w:numPr>
      <w:spacing w:before="480"/>
      <w:outlineLvl w:val="0"/>
    </w:pPr>
    <w:rPr>
      <w:rFonts w:ascii="Calibri" w:hAnsi="Calibri" w:cs="Arial"/>
      <w:b/>
      <w:bCs/>
      <w:caps/>
      <w:kern w:val="32"/>
      <w:sz w:val="24"/>
      <w:szCs w:val="32"/>
    </w:rPr>
  </w:style>
  <w:style w:type="paragraph" w:styleId="Overskrift2">
    <w:name w:val="heading 2"/>
    <w:basedOn w:val="Normal"/>
    <w:next w:val="Normal"/>
    <w:link w:val="Overskrift2Tegn"/>
    <w:qFormat/>
    <w:rsid w:val="00121DAD"/>
    <w:pPr>
      <w:keepNext/>
      <w:numPr>
        <w:ilvl w:val="1"/>
        <w:numId w:val="8"/>
      </w:numPr>
      <w:spacing w:before="240" w:after="60"/>
      <w:outlineLvl w:val="1"/>
    </w:pPr>
    <w:rPr>
      <w:rFonts w:cs="Arial"/>
      <w:b/>
      <w:bCs/>
      <w:iCs/>
      <w:szCs w:val="28"/>
    </w:rPr>
  </w:style>
  <w:style w:type="paragraph" w:styleId="Overskrift3">
    <w:name w:val="heading 3"/>
    <w:basedOn w:val="Normal"/>
    <w:next w:val="Normal"/>
    <w:qFormat/>
    <w:rsid w:val="00D02FF0"/>
    <w:pPr>
      <w:keepNext/>
      <w:numPr>
        <w:ilvl w:val="2"/>
        <w:numId w:val="8"/>
      </w:numPr>
      <w:spacing w:before="240" w:after="60"/>
      <w:outlineLvl w:val="2"/>
    </w:pPr>
    <w:rPr>
      <w:rFonts w:cs="Arial"/>
      <w:b/>
      <w:bCs/>
      <w:szCs w:val="26"/>
    </w:rPr>
  </w:style>
  <w:style w:type="paragraph" w:styleId="Overskrift4">
    <w:name w:val="heading 4"/>
    <w:basedOn w:val="Normal"/>
    <w:next w:val="Normal"/>
    <w:link w:val="Overskrift4Tegn"/>
    <w:qFormat/>
    <w:rsid w:val="00B445EC"/>
    <w:pPr>
      <w:keepNext/>
      <w:numPr>
        <w:ilvl w:val="3"/>
        <w:numId w:val="8"/>
      </w:numPr>
      <w:spacing w:before="240" w:after="60"/>
      <w:outlineLvl w:val="3"/>
    </w:pPr>
    <w:rPr>
      <w:b/>
      <w:bCs/>
      <w:szCs w:val="28"/>
    </w:rPr>
  </w:style>
  <w:style w:type="paragraph" w:styleId="Overskrift5">
    <w:name w:val="heading 5"/>
    <w:basedOn w:val="Normal"/>
    <w:next w:val="Normal"/>
    <w:qFormat/>
    <w:rsid w:val="00807FEE"/>
    <w:pPr>
      <w:numPr>
        <w:ilvl w:val="4"/>
        <w:numId w:val="8"/>
      </w:numPr>
      <w:spacing w:before="240" w:after="60"/>
      <w:outlineLvl w:val="4"/>
    </w:pPr>
    <w:rPr>
      <w:b/>
      <w:bCs/>
      <w:i/>
      <w:iCs/>
      <w:sz w:val="26"/>
      <w:szCs w:val="26"/>
    </w:rPr>
  </w:style>
  <w:style w:type="paragraph" w:styleId="Overskrift6">
    <w:name w:val="heading 6"/>
    <w:basedOn w:val="Normal"/>
    <w:next w:val="Normal"/>
    <w:qFormat/>
    <w:rsid w:val="00807FEE"/>
    <w:pPr>
      <w:numPr>
        <w:ilvl w:val="5"/>
        <w:numId w:val="8"/>
      </w:numPr>
      <w:spacing w:before="240" w:after="60"/>
      <w:outlineLvl w:val="5"/>
    </w:pPr>
    <w:rPr>
      <w:b/>
      <w:bCs/>
    </w:rPr>
  </w:style>
  <w:style w:type="paragraph" w:styleId="Overskrift7">
    <w:name w:val="heading 7"/>
    <w:basedOn w:val="Normal"/>
    <w:next w:val="Normal"/>
    <w:qFormat/>
    <w:rsid w:val="00807FEE"/>
    <w:pPr>
      <w:numPr>
        <w:ilvl w:val="6"/>
        <w:numId w:val="8"/>
      </w:numPr>
      <w:spacing w:before="240" w:after="60"/>
      <w:outlineLvl w:val="6"/>
    </w:pPr>
  </w:style>
  <w:style w:type="paragraph" w:styleId="Overskrift8">
    <w:name w:val="heading 8"/>
    <w:basedOn w:val="Normal"/>
    <w:next w:val="Normal"/>
    <w:qFormat/>
    <w:rsid w:val="00807FEE"/>
    <w:pPr>
      <w:numPr>
        <w:ilvl w:val="7"/>
        <w:numId w:val="8"/>
      </w:numPr>
      <w:spacing w:before="240" w:after="60"/>
      <w:outlineLvl w:val="7"/>
    </w:pPr>
    <w:rPr>
      <w:i/>
      <w:iCs/>
    </w:rPr>
  </w:style>
  <w:style w:type="paragraph" w:styleId="Overskrift9">
    <w:name w:val="heading 9"/>
    <w:basedOn w:val="Normal"/>
    <w:next w:val="Normal"/>
    <w:qFormat/>
    <w:rsid w:val="00807FEE"/>
    <w:pPr>
      <w:numPr>
        <w:ilvl w:val="8"/>
        <w:numId w:val="8"/>
      </w:numPr>
      <w:spacing w:before="240" w:after="60"/>
      <w:outlineLvl w:val="8"/>
    </w:pPr>
    <w:rPr>
      <w:rFonts w:ascii="Arial" w:hAnsi="Arial" w:cs="Ari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Overskriftutennummerering">
    <w:name w:val="Overskrift uten nummerering"/>
    <w:basedOn w:val="Normal"/>
    <w:pPr>
      <w:spacing w:before="360"/>
    </w:pPr>
    <w:rPr>
      <w:b/>
      <w:sz w:val="28"/>
    </w:rPr>
  </w:style>
  <w:style w:type="paragraph" w:customStyle="1" w:styleId="prosedyrenormal">
    <w:name w:val="prosedyrenormal"/>
    <w:basedOn w:val="Normal"/>
    <w:pPr>
      <w:spacing w:before="100" w:beforeAutospacing="1" w:after="100" w:afterAutospacing="1"/>
    </w:pPr>
    <w:rPr>
      <w:rFonts w:eastAsia="Calibri"/>
      <w:sz w:val="24"/>
    </w:rPr>
  </w:style>
  <w:style w:type="paragraph" w:styleId="Topptekst">
    <w:name w:val="header"/>
    <w:basedOn w:val="Normal"/>
    <w:semiHidden/>
    <w:pPr>
      <w:tabs>
        <w:tab w:val="center" w:pos="4536"/>
        <w:tab w:val="right" w:pos="9072"/>
      </w:tabs>
    </w:pPr>
  </w:style>
  <w:style w:type="paragraph" w:styleId="Bunntekst">
    <w:name w:val="footer"/>
    <w:basedOn w:val="Normal"/>
    <w:semiHidden/>
    <w:pPr>
      <w:tabs>
        <w:tab w:val="center" w:pos="4536"/>
        <w:tab w:val="right" w:pos="9072"/>
      </w:tabs>
    </w:pPr>
  </w:style>
  <w:style w:type="character" w:styleId="Sidetall">
    <w:name w:val="page number"/>
    <w:basedOn w:val="Standardskriftforavsnitt"/>
    <w:semiHidden/>
  </w:style>
  <w:style w:type="paragraph" w:styleId="Bobletekst">
    <w:name w:val="Balloon Text"/>
    <w:basedOn w:val="Normal"/>
    <w:semiHidden/>
    <w:unhideWhenUsed/>
    <w:pPr>
      <w:spacing w:after="0"/>
    </w:pPr>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customStyle="1" w:styleId="Ingenavstand1">
    <w:name w:val="Ingen avstand1"/>
    <w:qFormat/>
    <w:rPr>
      <w:rFonts w:ascii="Arial Narrow" w:hAnsi="Arial Narrow"/>
      <w:sz w:val="22"/>
      <w:szCs w:val="24"/>
    </w:rPr>
  </w:style>
  <w:style w:type="character" w:styleId="Hyperkobling">
    <w:name w:val="Hyperlink"/>
    <w:uiPriority w:val="99"/>
    <w:unhideWhenUsed/>
    <w:rPr>
      <w:color w:val="0000FF"/>
      <w:u w:val="single"/>
    </w:rPr>
  </w:style>
  <w:style w:type="paragraph" w:styleId="NormalWeb">
    <w:name w:val="Normal (Web)"/>
    <w:basedOn w:val="Normal"/>
    <w:uiPriority w:val="99"/>
    <w:semiHidden/>
    <w:unhideWhenUsed/>
    <w:pPr>
      <w:spacing w:before="100" w:beforeAutospacing="1" w:after="100" w:afterAutospacing="1"/>
    </w:pPr>
  </w:style>
  <w:style w:type="character" w:styleId="Fulgthyperkobling">
    <w:name w:val="FollowedHyperlink"/>
    <w:semiHidden/>
    <w:unhideWhenUsed/>
    <w:rPr>
      <w:color w:val="800080"/>
      <w:u w:val="single"/>
    </w:rPr>
  </w:style>
  <w:style w:type="character" w:styleId="Sterk">
    <w:name w:val="Strong"/>
    <w:uiPriority w:val="22"/>
    <w:qFormat/>
    <w:rPr>
      <w:b/>
      <w:bCs/>
    </w:rPr>
  </w:style>
  <w:style w:type="paragraph" w:styleId="Brdtekst">
    <w:name w:val="Body Text"/>
    <w:basedOn w:val="Normal"/>
    <w:semiHidden/>
  </w:style>
  <w:style w:type="paragraph" w:styleId="Rentekst">
    <w:name w:val="Plain Text"/>
    <w:basedOn w:val="Normal"/>
    <w:semiHidden/>
    <w:pPr>
      <w:spacing w:after="0"/>
    </w:pPr>
    <w:rPr>
      <w:rFonts w:ascii="Consolas" w:eastAsia="Calibri" w:hAnsi="Consolas"/>
      <w:sz w:val="21"/>
      <w:szCs w:val="21"/>
      <w:lang w:eastAsia="en-US"/>
    </w:rPr>
  </w:style>
  <w:style w:type="character" w:styleId="Merknadsreferanse">
    <w:name w:val="annotation reference"/>
    <w:semiHidden/>
    <w:rPr>
      <w:sz w:val="16"/>
      <w:szCs w:val="16"/>
    </w:rPr>
  </w:style>
  <w:style w:type="paragraph" w:styleId="Merknadstekst">
    <w:name w:val="annotation text"/>
    <w:basedOn w:val="Normal"/>
    <w:link w:val="MerknadstekstTegn"/>
    <w:semiHidden/>
    <w:rPr>
      <w:sz w:val="20"/>
      <w:szCs w:val="20"/>
    </w:rPr>
  </w:style>
  <w:style w:type="paragraph" w:styleId="Kommentaremne">
    <w:name w:val="annotation subject"/>
    <w:basedOn w:val="Merknadstekst"/>
    <w:next w:val="Merknadstekst"/>
    <w:semiHidden/>
    <w:rPr>
      <w:b/>
      <w:bCs/>
    </w:rPr>
  </w:style>
  <w:style w:type="paragraph" w:customStyle="1" w:styleId="Default">
    <w:name w:val="Default"/>
    <w:pPr>
      <w:autoSpaceDE w:val="0"/>
      <w:autoSpaceDN w:val="0"/>
      <w:adjustRightInd w:val="0"/>
    </w:pPr>
    <w:rPr>
      <w:color w:val="000000"/>
      <w:sz w:val="24"/>
      <w:szCs w:val="24"/>
      <w:lang w:bidi="ne-NP"/>
    </w:rPr>
  </w:style>
  <w:style w:type="character" w:customStyle="1" w:styleId="RentekstTegn">
    <w:name w:val="Ren tekst Tegn"/>
    <w:rPr>
      <w:rFonts w:ascii="Consolas" w:eastAsia="Calibri" w:hAnsi="Consolas"/>
      <w:sz w:val="21"/>
      <w:szCs w:val="21"/>
      <w:lang w:eastAsia="en-US"/>
    </w:rPr>
  </w:style>
  <w:style w:type="character" w:customStyle="1" w:styleId="MerknadstekstTegn">
    <w:name w:val="Merknadstekst Tegn"/>
    <w:link w:val="Merknadstekst"/>
    <w:semiHidden/>
    <w:rsid w:val="004E54A4"/>
    <w:rPr>
      <w:rFonts w:ascii="Arial Narrow" w:hAnsi="Arial Narrow"/>
    </w:rPr>
  </w:style>
  <w:style w:type="paragraph" w:styleId="Listeavsnitt">
    <w:name w:val="List Paragraph"/>
    <w:basedOn w:val="Normal"/>
    <w:uiPriority w:val="34"/>
    <w:qFormat/>
    <w:rsid w:val="002B3818"/>
    <w:pPr>
      <w:ind w:left="720"/>
      <w:contextualSpacing/>
    </w:pPr>
    <w:rPr>
      <w:szCs w:val="20"/>
    </w:rPr>
  </w:style>
  <w:style w:type="paragraph" w:styleId="Overskriftforinnholdsfortegnelse">
    <w:name w:val="TOC Heading"/>
    <w:basedOn w:val="Overskrift1"/>
    <w:next w:val="Normal"/>
    <w:uiPriority w:val="39"/>
    <w:unhideWhenUsed/>
    <w:qFormat/>
    <w:rsid w:val="009F71F5"/>
    <w:pPr>
      <w:keepLines/>
      <w:numPr>
        <w:numId w:val="0"/>
      </w:numPr>
      <w:autoSpaceDE/>
      <w:autoSpaceDN/>
      <w:adjustRightInd/>
      <w:spacing w:after="0" w:line="276" w:lineRule="auto"/>
      <w:outlineLvl w:val="9"/>
    </w:pPr>
    <w:rPr>
      <w:rFonts w:asciiTheme="majorHAnsi" w:eastAsiaTheme="majorEastAsia" w:hAnsiTheme="majorHAnsi" w:cstheme="majorBidi"/>
      <w:caps w:val="0"/>
      <w:color w:val="365F91" w:themeColor="accent1" w:themeShade="BF"/>
      <w:kern w:val="0"/>
      <w:sz w:val="28"/>
      <w:szCs w:val="28"/>
      <w:lang w:bidi="ar-SA"/>
    </w:rPr>
  </w:style>
  <w:style w:type="paragraph" w:styleId="INNH1">
    <w:name w:val="toc 1"/>
    <w:basedOn w:val="Normal"/>
    <w:next w:val="Normal"/>
    <w:autoRedefine/>
    <w:uiPriority w:val="39"/>
    <w:unhideWhenUsed/>
    <w:rsid w:val="009F4834"/>
    <w:pPr>
      <w:spacing w:after="100"/>
    </w:pPr>
    <w:rPr>
      <w:rFonts w:ascii="Calibri" w:hAnsi="Calibri"/>
      <w:szCs w:val="20"/>
    </w:rPr>
  </w:style>
  <w:style w:type="paragraph" w:styleId="INNH2">
    <w:name w:val="toc 2"/>
    <w:basedOn w:val="Normal"/>
    <w:next w:val="Normal"/>
    <w:autoRedefine/>
    <w:uiPriority w:val="39"/>
    <w:unhideWhenUsed/>
    <w:rsid w:val="009F4834"/>
    <w:pPr>
      <w:spacing w:after="100"/>
      <w:ind w:left="220"/>
    </w:pPr>
    <w:rPr>
      <w:rFonts w:ascii="Calibri" w:hAnsi="Calibri"/>
      <w:szCs w:val="20"/>
    </w:rPr>
  </w:style>
  <w:style w:type="paragraph" w:styleId="INNH3">
    <w:name w:val="toc 3"/>
    <w:basedOn w:val="Normal"/>
    <w:next w:val="Normal"/>
    <w:autoRedefine/>
    <w:uiPriority w:val="39"/>
    <w:unhideWhenUsed/>
    <w:rsid w:val="009F4834"/>
    <w:pPr>
      <w:spacing w:after="100"/>
      <w:ind w:left="440"/>
    </w:pPr>
    <w:rPr>
      <w:rFonts w:ascii="Calibri" w:hAnsi="Calibri"/>
      <w:szCs w:val="20"/>
    </w:rPr>
  </w:style>
  <w:style w:type="table" w:styleId="Tabellrutenett">
    <w:name w:val="Table Grid"/>
    <w:basedOn w:val="Vanligtabell"/>
    <w:uiPriority w:val="39"/>
    <w:rsid w:val="00A64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4A732C"/>
    <w:rPr>
      <w:rFonts w:asciiTheme="minorHAnsi" w:hAnsiTheme="minorHAnsi" w:cs="Arial"/>
      <w:b/>
      <w:bCs/>
      <w:iCs/>
      <w:color w:val="000000"/>
      <w:sz w:val="22"/>
      <w:szCs w:val="28"/>
      <w:lang w:bidi="ne-NP"/>
    </w:rPr>
  </w:style>
  <w:style w:type="character" w:customStyle="1" w:styleId="Overskrift4Tegn">
    <w:name w:val="Overskrift 4 Tegn"/>
    <w:basedOn w:val="Standardskriftforavsnitt"/>
    <w:link w:val="Overskrift4"/>
    <w:rsid w:val="00BB0B36"/>
    <w:rPr>
      <w:rFonts w:asciiTheme="minorHAnsi" w:hAnsiTheme="minorHAnsi"/>
      <w:b/>
      <w:bCs/>
      <w:color w:val="000000"/>
      <w:sz w:val="22"/>
      <w:szCs w:val="28"/>
      <w:lang w:bidi="ne-NP"/>
    </w:rPr>
  </w:style>
  <w:style w:type="paragraph" w:styleId="Ingenmellomrom">
    <w:name w:val="No Spacing"/>
    <w:uiPriority w:val="1"/>
    <w:qFormat/>
    <w:rsid w:val="00837892"/>
    <w:rPr>
      <w:rFonts w:asciiTheme="minorHAnsi" w:eastAsiaTheme="minorHAnsi" w:hAnsiTheme="minorHAnsi" w:cstheme="minorBidi"/>
      <w:sz w:val="22"/>
      <w:szCs w:val="22"/>
      <w:lang w:eastAsia="en-US"/>
    </w:rPr>
  </w:style>
  <w:style w:type="paragraph" w:styleId="Revisjon">
    <w:name w:val="Revision"/>
    <w:hidden/>
    <w:uiPriority w:val="99"/>
    <w:semiHidden/>
    <w:rsid w:val="00875926"/>
    <w:rPr>
      <w:rFonts w:asciiTheme="minorHAnsi" w:hAnsiTheme="minorHAnsi"/>
      <w:color w:val="000000"/>
      <w:sz w:val="22"/>
      <w:lang w:bidi="ne-NP"/>
    </w:rPr>
  </w:style>
  <w:style w:type="character" w:customStyle="1" w:styleId="Ulstomtale1">
    <w:name w:val="Uløst omtale1"/>
    <w:basedOn w:val="Standardskriftforavsnitt"/>
    <w:uiPriority w:val="99"/>
    <w:semiHidden/>
    <w:unhideWhenUsed/>
    <w:rsid w:val="00D76B8A"/>
    <w:rPr>
      <w:color w:val="605E5C"/>
      <w:shd w:val="clear" w:color="auto" w:fill="E1DFDD"/>
    </w:rPr>
  </w:style>
  <w:style w:type="character" w:customStyle="1" w:styleId="Omtale1">
    <w:name w:val="Omtale1"/>
    <w:basedOn w:val="Standardskriftforavsnitt"/>
    <w:uiPriority w:val="99"/>
    <w:unhideWhenUsed/>
    <w:rsid w:val="00B80211"/>
    <w:rPr>
      <w:color w:val="2B579A"/>
      <w:shd w:val="clear" w:color="auto" w:fill="E1DFDD"/>
    </w:rPr>
  </w:style>
  <w:style w:type="character" w:styleId="Ulstomtale">
    <w:name w:val="Unresolved Mention"/>
    <w:basedOn w:val="Standardskriftforavsnitt"/>
    <w:uiPriority w:val="99"/>
    <w:semiHidden/>
    <w:unhideWhenUsed/>
    <w:rsid w:val="005C4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3645">
      <w:bodyDiv w:val="1"/>
      <w:marLeft w:val="0"/>
      <w:marRight w:val="0"/>
      <w:marTop w:val="0"/>
      <w:marBottom w:val="0"/>
      <w:divBdr>
        <w:top w:val="none" w:sz="0" w:space="0" w:color="auto"/>
        <w:left w:val="none" w:sz="0" w:space="0" w:color="auto"/>
        <w:bottom w:val="none" w:sz="0" w:space="0" w:color="auto"/>
        <w:right w:val="none" w:sz="0" w:space="0" w:color="auto"/>
      </w:divBdr>
    </w:div>
    <w:div w:id="167135955">
      <w:bodyDiv w:val="1"/>
      <w:marLeft w:val="0"/>
      <w:marRight w:val="0"/>
      <w:marTop w:val="0"/>
      <w:marBottom w:val="0"/>
      <w:divBdr>
        <w:top w:val="none" w:sz="0" w:space="0" w:color="auto"/>
        <w:left w:val="none" w:sz="0" w:space="0" w:color="auto"/>
        <w:bottom w:val="none" w:sz="0" w:space="0" w:color="auto"/>
        <w:right w:val="none" w:sz="0" w:space="0" w:color="auto"/>
      </w:divBdr>
    </w:div>
    <w:div w:id="250897908">
      <w:bodyDiv w:val="1"/>
      <w:marLeft w:val="0"/>
      <w:marRight w:val="0"/>
      <w:marTop w:val="0"/>
      <w:marBottom w:val="0"/>
      <w:divBdr>
        <w:top w:val="none" w:sz="0" w:space="0" w:color="auto"/>
        <w:left w:val="none" w:sz="0" w:space="0" w:color="auto"/>
        <w:bottom w:val="none" w:sz="0" w:space="0" w:color="auto"/>
        <w:right w:val="none" w:sz="0" w:space="0" w:color="auto"/>
      </w:divBdr>
    </w:div>
    <w:div w:id="261111696">
      <w:bodyDiv w:val="1"/>
      <w:marLeft w:val="0"/>
      <w:marRight w:val="0"/>
      <w:marTop w:val="0"/>
      <w:marBottom w:val="0"/>
      <w:divBdr>
        <w:top w:val="none" w:sz="0" w:space="0" w:color="auto"/>
        <w:left w:val="none" w:sz="0" w:space="0" w:color="auto"/>
        <w:bottom w:val="none" w:sz="0" w:space="0" w:color="auto"/>
        <w:right w:val="none" w:sz="0" w:space="0" w:color="auto"/>
      </w:divBdr>
    </w:div>
    <w:div w:id="310135276">
      <w:bodyDiv w:val="1"/>
      <w:marLeft w:val="0"/>
      <w:marRight w:val="0"/>
      <w:marTop w:val="0"/>
      <w:marBottom w:val="0"/>
      <w:divBdr>
        <w:top w:val="none" w:sz="0" w:space="0" w:color="auto"/>
        <w:left w:val="none" w:sz="0" w:space="0" w:color="auto"/>
        <w:bottom w:val="none" w:sz="0" w:space="0" w:color="auto"/>
        <w:right w:val="none" w:sz="0" w:space="0" w:color="auto"/>
      </w:divBdr>
    </w:div>
    <w:div w:id="366026912">
      <w:bodyDiv w:val="1"/>
      <w:marLeft w:val="0"/>
      <w:marRight w:val="0"/>
      <w:marTop w:val="0"/>
      <w:marBottom w:val="0"/>
      <w:divBdr>
        <w:top w:val="none" w:sz="0" w:space="0" w:color="auto"/>
        <w:left w:val="none" w:sz="0" w:space="0" w:color="auto"/>
        <w:bottom w:val="none" w:sz="0" w:space="0" w:color="auto"/>
        <w:right w:val="none" w:sz="0" w:space="0" w:color="auto"/>
      </w:divBdr>
    </w:div>
    <w:div w:id="559874287">
      <w:bodyDiv w:val="1"/>
      <w:marLeft w:val="0"/>
      <w:marRight w:val="0"/>
      <w:marTop w:val="0"/>
      <w:marBottom w:val="0"/>
      <w:divBdr>
        <w:top w:val="none" w:sz="0" w:space="0" w:color="auto"/>
        <w:left w:val="none" w:sz="0" w:space="0" w:color="auto"/>
        <w:bottom w:val="none" w:sz="0" w:space="0" w:color="auto"/>
        <w:right w:val="none" w:sz="0" w:space="0" w:color="auto"/>
      </w:divBdr>
    </w:div>
    <w:div w:id="592277099">
      <w:bodyDiv w:val="1"/>
      <w:marLeft w:val="0"/>
      <w:marRight w:val="0"/>
      <w:marTop w:val="0"/>
      <w:marBottom w:val="0"/>
      <w:divBdr>
        <w:top w:val="none" w:sz="0" w:space="0" w:color="auto"/>
        <w:left w:val="none" w:sz="0" w:space="0" w:color="auto"/>
        <w:bottom w:val="none" w:sz="0" w:space="0" w:color="auto"/>
        <w:right w:val="none" w:sz="0" w:space="0" w:color="auto"/>
      </w:divBdr>
    </w:div>
    <w:div w:id="673842155">
      <w:bodyDiv w:val="1"/>
      <w:marLeft w:val="0"/>
      <w:marRight w:val="0"/>
      <w:marTop w:val="0"/>
      <w:marBottom w:val="0"/>
      <w:divBdr>
        <w:top w:val="none" w:sz="0" w:space="0" w:color="auto"/>
        <w:left w:val="none" w:sz="0" w:space="0" w:color="auto"/>
        <w:bottom w:val="none" w:sz="0" w:space="0" w:color="auto"/>
        <w:right w:val="none" w:sz="0" w:space="0" w:color="auto"/>
      </w:divBdr>
    </w:div>
    <w:div w:id="682976484">
      <w:bodyDiv w:val="1"/>
      <w:marLeft w:val="0"/>
      <w:marRight w:val="0"/>
      <w:marTop w:val="0"/>
      <w:marBottom w:val="0"/>
      <w:divBdr>
        <w:top w:val="none" w:sz="0" w:space="0" w:color="auto"/>
        <w:left w:val="none" w:sz="0" w:space="0" w:color="auto"/>
        <w:bottom w:val="none" w:sz="0" w:space="0" w:color="auto"/>
        <w:right w:val="none" w:sz="0" w:space="0" w:color="auto"/>
      </w:divBdr>
    </w:div>
    <w:div w:id="885873232">
      <w:bodyDiv w:val="1"/>
      <w:marLeft w:val="0"/>
      <w:marRight w:val="0"/>
      <w:marTop w:val="0"/>
      <w:marBottom w:val="0"/>
      <w:divBdr>
        <w:top w:val="none" w:sz="0" w:space="0" w:color="auto"/>
        <w:left w:val="none" w:sz="0" w:space="0" w:color="auto"/>
        <w:bottom w:val="none" w:sz="0" w:space="0" w:color="auto"/>
        <w:right w:val="none" w:sz="0" w:space="0" w:color="auto"/>
      </w:divBdr>
    </w:div>
    <w:div w:id="1067458355">
      <w:bodyDiv w:val="1"/>
      <w:marLeft w:val="0"/>
      <w:marRight w:val="0"/>
      <w:marTop w:val="0"/>
      <w:marBottom w:val="0"/>
      <w:divBdr>
        <w:top w:val="none" w:sz="0" w:space="0" w:color="auto"/>
        <w:left w:val="none" w:sz="0" w:space="0" w:color="auto"/>
        <w:bottom w:val="none" w:sz="0" w:space="0" w:color="auto"/>
        <w:right w:val="none" w:sz="0" w:space="0" w:color="auto"/>
      </w:divBdr>
    </w:div>
    <w:div w:id="1075281044">
      <w:bodyDiv w:val="1"/>
      <w:marLeft w:val="0"/>
      <w:marRight w:val="0"/>
      <w:marTop w:val="0"/>
      <w:marBottom w:val="0"/>
      <w:divBdr>
        <w:top w:val="none" w:sz="0" w:space="0" w:color="auto"/>
        <w:left w:val="none" w:sz="0" w:space="0" w:color="auto"/>
        <w:bottom w:val="none" w:sz="0" w:space="0" w:color="auto"/>
        <w:right w:val="none" w:sz="0" w:space="0" w:color="auto"/>
      </w:divBdr>
    </w:div>
    <w:div w:id="1234655773">
      <w:bodyDiv w:val="1"/>
      <w:marLeft w:val="0"/>
      <w:marRight w:val="0"/>
      <w:marTop w:val="0"/>
      <w:marBottom w:val="0"/>
      <w:divBdr>
        <w:top w:val="none" w:sz="0" w:space="0" w:color="auto"/>
        <w:left w:val="none" w:sz="0" w:space="0" w:color="auto"/>
        <w:bottom w:val="none" w:sz="0" w:space="0" w:color="auto"/>
        <w:right w:val="none" w:sz="0" w:space="0" w:color="auto"/>
      </w:divBdr>
    </w:div>
    <w:div w:id="1333295265">
      <w:bodyDiv w:val="1"/>
      <w:marLeft w:val="0"/>
      <w:marRight w:val="0"/>
      <w:marTop w:val="0"/>
      <w:marBottom w:val="0"/>
      <w:divBdr>
        <w:top w:val="none" w:sz="0" w:space="0" w:color="auto"/>
        <w:left w:val="none" w:sz="0" w:space="0" w:color="auto"/>
        <w:bottom w:val="none" w:sz="0" w:space="0" w:color="auto"/>
        <w:right w:val="none" w:sz="0" w:space="0" w:color="auto"/>
      </w:divBdr>
    </w:div>
    <w:div w:id="1337615529">
      <w:bodyDiv w:val="1"/>
      <w:marLeft w:val="0"/>
      <w:marRight w:val="0"/>
      <w:marTop w:val="0"/>
      <w:marBottom w:val="0"/>
      <w:divBdr>
        <w:top w:val="none" w:sz="0" w:space="0" w:color="auto"/>
        <w:left w:val="none" w:sz="0" w:space="0" w:color="auto"/>
        <w:bottom w:val="none" w:sz="0" w:space="0" w:color="auto"/>
        <w:right w:val="none" w:sz="0" w:space="0" w:color="auto"/>
      </w:divBdr>
    </w:div>
    <w:div w:id="1381439401">
      <w:bodyDiv w:val="1"/>
      <w:marLeft w:val="0"/>
      <w:marRight w:val="0"/>
      <w:marTop w:val="0"/>
      <w:marBottom w:val="0"/>
      <w:divBdr>
        <w:top w:val="none" w:sz="0" w:space="0" w:color="auto"/>
        <w:left w:val="none" w:sz="0" w:space="0" w:color="auto"/>
        <w:bottom w:val="none" w:sz="0" w:space="0" w:color="auto"/>
        <w:right w:val="none" w:sz="0" w:space="0" w:color="auto"/>
      </w:divBdr>
    </w:div>
    <w:div w:id="1425371134">
      <w:bodyDiv w:val="1"/>
      <w:marLeft w:val="0"/>
      <w:marRight w:val="0"/>
      <w:marTop w:val="0"/>
      <w:marBottom w:val="0"/>
      <w:divBdr>
        <w:top w:val="none" w:sz="0" w:space="0" w:color="auto"/>
        <w:left w:val="none" w:sz="0" w:space="0" w:color="auto"/>
        <w:bottom w:val="none" w:sz="0" w:space="0" w:color="auto"/>
        <w:right w:val="none" w:sz="0" w:space="0" w:color="auto"/>
      </w:divBdr>
    </w:div>
    <w:div w:id="1521894524">
      <w:bodyDiv w:val="1"/>
      <w:marLeft w:val="0"/>
      <w:marRight w:val="0"/>
      <w:marTop w:val="0"/>
      <w:marBottom w:val="0"/>
      <w:divBdr>
        <w:top w:val="none" w:sz="0" w:space="0" w:color="auto"/>
        <w:left w:val="none" w:sz="0" w:space="0" w:color="auto"/>
        <w:bottom w:val="none" w:sz="0" w:space="0" w:color="auto"/>
        <w:right w:val="none" w:sz="0" w:space="0" w:color="auto"/>
      </w:divBdr>
    </w:div>
    <w:div w:id="1554266313">
      <w:bodyDiv w:val="1"/>
      <w:marLeft w:val="0"/>
      <w:marRight w:val="0"/>
      <w:marTop w:val="0"/>
      <w:marBottom w:val="0"/>
      <w:divBdr>
        <w:top w:val="none" w:sz="0" w:space="0" w:color="auto"/>
        <w:left w:val="none" w:sz="0" w:space="0" w:color="auto"/>
        <w:bottom w:val="none" w:sz="0" w:space="0" w:color="auto"/>
        <w:right w:val="none" w:sz="0" w:space="0" w:color="auto"/>
      </w:divBdr>
    </w:div>
    <w:div w:id="1685208553">
      <w:bodyDiv w:val="1"/>
      <w:marLeft w:val="0"/>
      <w:marRight w:val="0"/>
      <w:marTop w:val="0"/>
      <w:marBottom w:val="0"/>
      <w:divBdr>
        <w:top w:val="none" w:sz="0" w:space="0" w:color="auto"/>
        <w:left w:val="none" w:sz="0" w:space="0" w:color="auto"/>
        <w:bottom w:val="none" w:sz="0" w:space="0" w:color="auto"/>
        <w:right w:val="none" w:sz="0" w:space="0" w:color="auto"/>
      </w:divBdr>
      <w:divsChild>
        <w:div w:id="696155911">
          <w:marLeft w:val="0"/>
          <w:marRight w:val="0"/>
          <w:marTop w:val="0"/>
          <w:marBottom w:val="0"/>
          <w:divBdr>
            <w:top w:val="none" w:sz="0" w:space="0" w:color="auto"/>
            <w:left w:val="none" w:sz="0" w:space="0" w:color="auto"/>
            <w:bottom w:val="none" w:sz="0" w:space="0" w:color="auto"/>
            <w:right w:val="none" w:sz="0" w:space="0" w:color="auto"/>
          </w:divBdr>
        </w:div>
        <w:div w:id="1705866854">
          <w:marLeft w:val="0"/>
          <w:marRight w:val="0"/>
          <w:marTop w:val="0"/>
          <w:marBottom w:val="0"/>
          <w:divBdr>
            <w:top w:val="none" w:sz="0" w:space="0" w:color="auto"/>
            <w:left w:val="none" w:sz="0" w:space="0" w:color="auto"/>
            <w:bottom w:val="none" w:sz="0" w:space="0" w:color="auto"/>
            <w:right w:val="none" w:sz="0" w:space="0" w:color="auto"/>
          </w:divBdr>
        </w:div>
      </w:divsChild>
    </w:div>
    <w:div w:id="1822502146">
      <w:bodyDiv w:val="1"/>
      <w:marLeft w:val="0"/>
      <w:marRight w:val="0"/>
      <w:marTop w:val="0"/>
      <w:marBottom w:val="0"/>
      <w:divBdr>
        <w:top w:val="none" w:sz="0" w:space="0" w:color="auto"/>
        <w:left w:val="none" w:sz="0" w:space="0" w:color="auto"/>
        <w:bottom w:val="none" w:sz="0" w:space="0" w:color="auto"/>
        <w:right w:val="none" w:sz="0" w:space="0" w:color="auto"/>
      </w:divBdr>
      <w:divsChild>
        <w:div w:id="914313824">
          <w:marLeft w:val="0"/>
          <w:marRight w:val="0"/>
          <w:marTop w:val="0"/>
          <w:marBottom w:val="0"/>
          <w:divBdr>
            <w:top w:val="none" w:sz="0" w:space="0" w:color="auto"/>
            <w:left w:val="none" w:sz="0" w:space="0" w:color="auto"/>
            <w:bottom w:val="none" w:sz="0" w:space="0" w:color="auto"/>
            <w:right w:val="none" w:sz="0" w:space="0" w:color="auto"/>
          </w:divBdr>
          <w:divsChild>
            <w:div w:id="482083878">
              <w:marLeft w:val="0"/>
              <w:marRight w:val="0"/>
              <w:marTop w:val="0"/>
              <w:marBottom w:val="0"/>
              <w:divBdr>
                <w:top w:val="none" w:sz="0" w:space="0" w:color="auto"/>
                <w:left w:val="none" w:sz="0" w:space="0" w:color="auto"/>
                <w:bottom w:val="none" w:sz="0" w:space="0" w:color="auto"/>
                <w:right w:val="none" w:sz="0" w:space="0" w:color="auto"/>
              </w:divBdr>
            </w:div>
          </w:divsChild>
        </w:div>
        <w:div w:id="963123101">
          <w:marLeft w:val="0"/>
          <w:marRight w:val="0"/>
          <w:marTop w:val="0"/>
          <w:marBottom w:val="0"/>
          <w:divBdr>
            <w:top w:val="none" w:sz="0" w:space="0" w:color="auto"/>
            <w:left w:val="none" w:sz="0" w:space="0" w:color="auto"/>
            <w:bottom w:val="none" w:sz="0" w:space="0" w:color="auto"/>
            <w:right w:val="none" w:sz="0" w:space="0" w:color="auto"/>
          </w:divBdr>
          <w:divsChild>
            <w:div w:id="132193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66335">
      <w:bodyDiv w:val="1"/>
      <w:marLeft w:val="0"/>
      <w:marRight w:val="0"/>
      <w:marTop w:val="0"/>
      <w:marBottom w:val="0"/>
      <w:divBdr>
        <w:top w:val="none" w:sz="0" w:space="0" w:color="auto"/>
        <w:left w:val="none" w:sz="0" w:space="0" w:color="auto"/>
        <w:bottom w:val="none" w:sz="0" w:space="0" w:color="auto"/>
        <w:right w:val="none" w:sz="0" w:space="0" w:color="auto"/>
      </w:divBdr>
    </w:div>
    <w:div w:id="1984574722">
      <w:bodyDiv w:val="1"/>
      <w:marLeft w:val="0"/>
      <w:marRight w:val="0"/>
      <w:marTop w:val="0"/>
      <w:marBottom w:val="0"/>
      <w:divBdr>
        <w:top w:val="none" w:sz="0" w:space="0" w:color="auto"/>
        <w:left w:val="none" w:sz="0" w:space="0" w:color="auto"/>
        <w:bottom w:val="none" w:sz="0" w:space="0" w:color="auto"/>
        <w:right w:val="none" w:sz="0" w:space="0" w:color="auto"/>
      </w:divBdr>
    </w:div>
    <w:div w:id="2001999937">
      <w:bodyDiv w:val="1"/>
      <w:marLeft w:val="0"/>
      <w:marRight w:val="0"/>
      <w:marTop w:val="0"/>
      <w:marBottom w:val="0"/>
      <w:divBdr>
        <w:top w:val="none" w:sz="0" w:space="0" w:color="auto"/>
        <w:left w:val="none" w:sz="0" w:space="0" w:color="auto"/>
        <w:bottom w:val="none" w:sz="0" w:space="0" w:color="auto"/>
        <w:right w:val="none" w:sz="0" w:space="0" w:color="auto"/>
      </w:divBdr>
    </w:div>
    <w:div w:id="2010667701">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nder.dialogapi.no/l/IP4O3E-ccn2y_UQwB93s_A/oweaJywyztLE6UVLhc_BFun-tEmtMv5vfN8JJgQb4Gc=" TargetMode="External"/><Relationship Id="rId18" Type="http://schemas.openxmlformats.org/officeDocument/2006/relationships/hyperlink" Target="https://www.greenlight.guru/blog/mdcg-2019-11"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www.nortrials.no/494d15/siteassets/dokumenter/slv_regulatorisk-veiviser-for-kliniske-utprovinger-etter-mdr-v.1-2022.pdf" TargetMode="External"/><Relationship Id="rId7" Type="http://schemas.openxmlformats.org/officeDocument/2006/relationships/endnotes" Target="endnotes.xml"/><Relationship Id="rId12" Type="http://schemas.openxmlformats.org/officeDocument/2006/relationships/hyperlink" Target="https://www.uib.no/praksisnett" TargetMode="External"/><Relationship Id="rId17" Type="http://schemas.openxmlformats.org/officeDocument/2006/relationships/hyperlink" Target="https://www.greenlight.guru/blog/mdcg-2019-11" TargetMode="External"/><Relationship Id="rId25" Type="http://schemas.openxmlformats.org/officeDocument/2006/relationships/hyperlink" Target="https://www.uib.no/praksisnet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ealth.ec.europa.eu/medical-devices-sector/new-regulations/guidance-mdcg-endorsed-documents-and-other-guidance_en" TargetMode="External"/><Relationship Id="rId20" Type="http://schemas.openxmlformats.org/officeDocument/2006/relationships/hyperlink" Target="https://www.nortrials.no/494d15/siteassets/dokumenter/slv_regulatorisk-veiviser-for-kliniske-utprovinger-etter-mdr-v.1-2022.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ib.no/praksisnett" TargetMode="External"/><Relationship Id="rId24" Type="http://schemas.openxmlformats.org/officeDocument/2006/relationships/hyperlink" Target="https://helsedata.n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dmp.no/medisinsk-utstyr/klinisk-utproving-av-medisinsk-utstyr/soknadspliktige-kliniske-utprovinger" TargetMode="External"/><Relationship Id="rId28" Type="http://schemas.openxmlformats.org/officeDocument/2006/relationships/header" Target="header1.xml"/><Relationship Id="rId10" Type="http://schemas.openxmlformats.org/officeDocument/2006/relationships/hyperlink" Target="https://eur-lex.europa.eu/legal-content/EN/TXT/?uri=CELEX:02017R0745-20200424" TargetMode="External"/><Relationship Id="rId19" Type="http://schemas.openxmlformats.org/officeDocument/2006/relationships/hyperlink" Target="https://www.dmp.no/globalassets/documents/medisinsk-utstyr/klinisk-utproving/regulatorisk-veiviser-for-kliniske-utprovinger-etter-mdr.pdf"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metodebok.no/index.php?action=topic&amp;item=ZgQYZVZT" TargetMode="External"/><Relationship Id="rId14" Type="http://schemas.openxmlformats.org/officeDocument/2006/relationships/hyperlink" Target="https://www.riksrevisjonen.no/rapporter-mappe/no-2020-2021/undersokelse-av-kliniske-behandlingsstudier-i-helseforetakene/" TargetMode="External"/><Relationship Id="rId22" Type="http://schemas.openxmlformats.org/officeDocument/2006/relationships/hyperlink" Target="https://www.dmp.no/medisinsk-utstyr/klinisk-utproving-av-medisinsk-utstyr" TargetMode="External"/><Relationship Id="rId27" Type="http://schemas.openxmlformats.org/officeDocument/2006/relationships/hyperlink" Target="https://trialnation.dk/wp-content/uploads/Detailed-overview-of-research-strategies-and-research-units.pdf" TargetMode="External"/><Relationship Id="rId30" Type="http://schemas.openxmlformats.org/officeDocument/2006/relationships/footer" Target="footer2.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16DEE-55D4-408E-A5BE-E5184B9966F5}">
  <ds:schemaRefs>
    <ds:schemaRef ds:uri="http://schemas.openxmlformats.org/officeDocument/2006/bibliography"/>
  </ds:schemaRefs>
</ds:datastoreItem>
</file>

<file path=docMetadata/LabelInfo.xml><?xml version="1.0" encoding="utf-8"?>
<clbl:labelList xmlns:clbl="http://schemas.microsoft.com/office/2020/mipLabelMetadata">
  <clbl:label id="{5b906c1f-19d2-4ac1-bea8-1ddf524e35b3}" enabled="1" method="Standard" siteId="{7f8e4cf0-71fb-489c-a336-3f9252a63908}" contentBits="0" removed="0"/>
</clbl:labelList>
</file>

<file path=docProps/app.xml><?xml version="1.0" encoding="utf-8"?>
<Properties xmlns="http://schemas.openxmlformats.org/officeDocument/2006/extended-properties" xmlns:vt="http://schemas.openxmlformats.org/officeDocument/2006/docPropsVTypes">
  <Template>Normal</Template>
  <TotalTime>54</TotalTime>
  <Pages>30</Pages>
  <Words>9594</Words>
  <Characters>61963</Characters>
  <Application>Microsoft Office Word</Application>
  <DocSecurity>0</DocSecurity>
  <Lines>516</Lines>
  <Paragraphs>142</Paragraphs>
  <ScaleCrop>false</ScaleCrop>
  <HeadingPairs>
    <vt:vector size="2" baseType="variant">
      <vt:variant>
        <vt:lpstr>Tittel</vt:lpstr>
      </vt:variant>
      <vt:variant>
        <vt:i4>1</vt:i4>
      </vt:variant>
    </vt:vector>
  </HeadingPairs>
  <TitlesOfParts>
    <vt:vector size="1" baseType="lpstr">
      <vt:lpstr>1</vt:lpstr>
    </vt:vector>
  </TitlesOfParts>
  <Company>Helse Vest RHF</Company>
  <LinksUpToDate>false</LinksUpToDate>
  <CharactersWithSpaces>71415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Jon B Borgaard</dc:creator>
  <cp:lastModifiedBy>Fosse, Dan Andre</cp:lastModifiedBy>
  <cp:revision>9</cp:revision>
  <cp:lastPrinted>2019-03-13T09:14:00Z</cp:lastPrinted>
  <dcterms:created xsi:type="dcterms:W3CDTF">2025-03-31T07:24:00Z</dcterms:created>
  <dcterms:modified xsi:type="dcterms:W3CDTF">2025-04-02T08:15:00Z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4,6,7</vt:lpwstr>
  </property>
  <property fmtid="{D5CDD505-2E9C-101B-9397-08002B2CF9AE}" pid="3" name="ClassificationContentMarkingFooterFontProps">
    <vt:lpwstr>#000000,10,Calibri</vt:lpwstr>
  </property>
  <property fmtid="{D5CDD505-2E9C-101B-9397-08002B2CF9AE}" pid="4" name="ClassificationContentMarkingFooterText">
    <vt:lpwstr>Følsomhet Intern (gul)</vt:lpwstr>
  </property>
  <property fmtid="{D5CDD505-2E9C-101B-9397-08002B2CF9AE}" pid="5" name="MSIP_Label_0c3ffc1c-ef00-4620-9c2f-7d9c1597774b_Enabled">
    <vt:lpwstr>true</vt:lpwstr>
  </property>
  <property fmtid="{D5CDD505-2E9C-101B-9397-08002B2CF9AE}" pid="6" name="MSIP_Label_0c3ffc1c-ef00-4620-9c2f-7d9c1597774b_SetDate">
    <vt:lpwstr>2024-04-04T07:31:39Z</vt:lpwstr>
  </property>
  <property fmtid="{D5CDD505-2E9C-101B-9397-08002B2CF9AE}" pid="7" name="MSIP_Label_0c3ffc1c-ef00-4620-9c2f-7d9c1597774b_Method">
    <vt:lpwstr>Standard</vt:lpwstr>
  </property>
  <property fmtid="{D5CDD505-2E9C-101B-9397-08002B2CF9AE}" pid="8" name="MSIP_Label_0c3ffc1c-ef00-4620-9c2f-7d9c1597774b_Name">
    <vt:lpwstr>Intern</vt:lpwstr>
  </property>
  <property fmtid="{D5CDD505-2E9C-101B-9397-08002B2CF9AE}" pid="9" name="MSIP_Label_0c3ffc1c-ef00-4620-9c2f-7d9c1597774b_SiteId">
    <vt:lpwstr>bdcbe535-f3cf-49f5-8a6a-fb6d98dc7837</vt:lpwstr>
  </property>
  <property fmtid="{D5CDD505-2E9C-101B-9397-08002B2CF9AE}" pid="10" name="MSIP_Label_0c3ffc1c-ef00-4620-9c2f-7d9c1597774b_ActionId">
    <vt:lpwstr>b0f4e3c8-bdfd-4b5d-a093-4f04c2e7fd54</vt:lpwstr>
  </property>
  <property fmtid="{D5CDD505-2E9C-101B-9397-08002B2CF9AE}" pid="11" name="MSIP_Label_0c3ffc1c-ef00-4620-9c2f-7d9c1597774b_ContentBits">
    <vt:lpwstr>2</vt:lpwstr>
  </property>
</Properties>
</file>